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6BF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B4D9A75">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B2B49E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91.080.40</w:t>
            </w:r>
            <w:r>
              <w:rPr>
                <w:rFonts w:ascii="黑体" w:hAnsi="黑体" w:eastAsia="黑体"/>
                <w:sz w:val="21"/>
                <w:szCs w:val="21"/>
              </w:rPr>
              <w:fldChar w:fldCharType="end"/>
            </w:r>
            <w:bookmarkEnd w:id="0"/>
          </w:p>
        </w:tc>
      </w:tr>
      <w:tr w14:paraId="15096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D8B3F2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2B3567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25</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88" w:y="1912"/>
        <w:pBdr>
          <w:top w:val="none" w:color="auto" w:sz="0" w:space="0"/>
          <w:left w:val="none" w:color="auto" w:sz="0" w:space="0"/>
          <w:bottom w:val="none" w:color="auto" w:sz="0" w:space="0"/>
          <w:right w:val="none" w:color="auto" w:sz="0" w:space="0"/>
        </w:pBdr>
        <w:rPr>
          <w:rFonts w:hint="eastAsia" w:ascii="黑体" w:hAnsi="黑体" w:eastAsia="黑体"/>
          <w:b/>
          <w:bCs w:val="0"/>
          <w:w w:val="100"/>
          <w:sz w:val="84"/>
          <w:szCs w:val="84"/>
        </w:rPr>
      </w:pPr>
      <w:r>
        <w:rPr>
          <w:rFonts w:hint="eastAsia" w:ascii="黑体" w:eastAsia="黑体"/>
          <w:b/>
          <w:bCs w:val="0"/>
          <w:w w:val="100"/>
          <w:sz w:val="84"/>
          <w:szCs w:val="84"/>
        </w:rPr>
        <w:t>团体</w:t>
      </w:r>
      <w:r>
        <w:rPr>
          <w:rFonts w:hint="eastAsia" w:ascii="黑体" w:hAnsi="黑体" w:eastAsia="黑体"/>
          <w:b/>
          <w:bCs w:val="0"/>
          <w:w w:val="100"/>
          <w:sz w:val="84"/>
          <w:szCs w:val="84"/>
        </w:rPr>
        <w:t>标准</w:t>
      </w:r>
    </w:p>
    <w:p w14:paraId="439C49DF">
      <w:pPr>
        <w:pStyle w:val="195"/>
      </w:pPr>
      <w:r>
        <w:t>T/</w:t>
      </w:r>
      <w:bookmarkStart w:id="2"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2"/>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rPr>
          <w:rFonts w:hint="eastAsia"/>
        </w:rPr>
        <w:t>2025</w:t>
      </w:r>
      <w:r>
        <w:fldChar w:fldCharType="end"/>
      </w:r>
      <w:bookmarkEnd w:id="4"/>
    </w:p>
    <w:p w14:paraId="5DCABD90">
      <w:pPr>
        <w:pStyle w:val="196"/>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45D7171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79D24F8">
      <w:pPr>
        <w:pStyle w:val="50"/>
        <w:framePr w:w="9639" w:h="6976" w:hRule="exact" w:hSpace="0" w:vSpace="0" w:wrap="around" w:hAnchor="page" w:y="6408"/>
        <w:jc w:val="center"/>
        <w:rPr>
          <w:rFonts w:hint="eastAsia" w:ascii="黑体" w:hAnsi="黑体" w:eastAsia="黑体"/>
          <w:b w:val="0"/>
          <w:bCs w:val="0"/>
          <w:w w:val="100"/>
        </w:rPr>
      </w:pPr>
    </w:p>
    <w:p w14:paraId="12A01B9B">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6" w:name="CSTD_NAME"/>
      <w:r>
        <w:instrText xml:space="preserve"> FORMTEXT </w:instrText>
      </w:r>
      <w:r>
        <w:fldChar w:fldCharType="separate"/>
      </w:r>
      <w:r>
        <w:rPr>
          <w:rFonts w:hint="eastAsia"/>
        </w:rPr>
        <w:t>工业化装配式混凝土建筑项目施工技术规程</w:t>
      </w:r>
      <w:r>
        <w:fldChar w:fldCharType="end"/>
      </w:r>
      <w:bookmarkEnd w:id="6"/>
    </w:p>
    <w:p w14:paraId="234FD729">
      <w:pPr>
        <w:framePr w:w="9639" w:h="6974" w:hRule="exact" w:wrap="around" w:vAnchor="page" w:hAnchor="page" w:x="1419" w:y="6408" w:anchorLock="1"/>
        <w:ind w:left="-1418"/>
      </w:pPr>
    </w:p>
    <w:p w14:paraId="0263F08E">
      <w:pPr>
        <w:pStyle w:val="125"/>
        <w:framePr w:w="9639" w:h="6974" w:hRule="exact" w:wrap="around" w:vAnchor="page" w:hAnchor="page" w:x="1419" w:y="6408" w:anchorLock="1"/>
        <w:textAlignment w:val="bottom"/>
        <w:rPr>
          <w:rFonts w:eastAsia="黑体"/>
          <w:szCs w:val="28"/>
        </w:rPr>
      </w:pPr>
    </w:p>
    <w:p w14:paraId="60D23AE6">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7" w:name="ESTD_NAME"/>
      <w:r>
        <w:rPr>
          <w:rFonts w:eastAsia="黑体"/>
          <w:szCs w:val="28"/>
        </w:rPr>
        <w:instrText xml:space="preserve"> FORMTEXT </w:instrText>
      </w:r>
      <w:r>
        <w:rPr>
          <w:rFonts w:eastAsia="黑体"/>
          <w:szCs w:val="28"/>
        </w:rPr>
        <w:fldChar w:fldCharType="separate"/>
      </w:r>
      <w:r>
        <w:rPr>
          <w:rFonts w:hint="eastAsia" w:eastAsia="黑体"/>
          <w:szCs w:val="28"/>
        </w:rPr>
        <w:t>Technical regulations for the construction of industrialized prefabricated concrete building projects</w:t>
      </w:r>
      <w:r>
        <w:rPr>
          <w:rFonts w:eastAsia="黑体"/>
          <w:szCs w:val="28"/>
        </w:rPr>
        <w:fldChar w:fldCharType="end"/>
      </w:r>
      <w:bookmarkEnd w:id="7"/>
    </w:p>
    <w:p w14:paraId="3CEFB553">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rFonts w:hint="eastAsia" w:ascii="黑体" w:hAnsi="黑体" w:eastAsia="黑体" w:cs="黑体"/>
          <w:sz w:val="44"/>
          <w:szCs w:val="44"/>
          <w:lang w:val="en-US" w:eastAsia="zh-CN"/>
        </w:rPr>
      </w:pPr>
    </w:p>
    <w:p w14:paraId="06AB8ED2">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180" w:line="240" w:lineRule="atLeast"/>
        <w:textAlignment w:val="bottom"/>
        <w:rPr>
          <w:sz w:val="44"/>
          <w:szCs w:val="44"/>
        </w:rPr>
      </w:pPr>
      <w:bookmarkStart w:id="49" w:name="_GoBack"/>
      <w:bookmarkEnd w:id="49"/>
      <w:r>
        <w:rPr>
          <w:rFonts w:hint="eastAsia" w:ascii="黑体" w:hAnsi="黑体" w:eastAsia="黑体" w:cs="黑体"/>
          <w:sz w:val="44"/>
          <w:szCs w:val="44"/>
          <w:lang w:val="en-US" w:eastAsia="zh-CN"/>
        </w:rPr>
        <w:t>（征求意见稿）</w:t>
      </w:r>
    </w:p>
    <w:p w14:paraId="436F0A9E">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720" w:beforeLines="300" w:after="72" w:afterLines="30" w:line="240" w:lineRule="auto"/>
        <w:textAlignment w:val="bottom"/>
        <w:rPr>
          <w:b/>
          <w:sz w:val="21"/>
          <w:szCs w:val="28"/>
        </w:rPr>
      </w:pPr>
    </w:p>
    <w:p w14:paraId="74E73CAC">
      <w:pPr>
        <w:pStyle w:val="125"/>
        <w:framePr w:w="9639" w:h="6974" w:hRule="exact" w:wrap="around" w:vAnchor="page" w:hAnchor="page" w:x="1419" w:y="6408" w:anchorLock="1"/>
        <w:spacing w:before="440" w:after="160"/>
        <w:textAlignment w:val="bottom"/>
        <w:rPr>
          <w:sz w:val="24"/>
          <w:szCs w:val="28"/>
        </w:rPr>
      </w:pPr>
    </w:p>
    <w:p w14:paraId="030B5628">
      <w:pPr>
        <w:pStyle w:val="125"/>
        <w:framePr w:w="9639" w:h="6974" w:hRule="exact" w:wrap="around" w:vAnchor="page" w:hAnchor="page" w:x="1419" w:y="6408" w:anchorLock="1"/>
        <w:spacing w:before="180" w:line="240" w:lineRule="atLeast"/>
        <w:textAlignment w:val="bottom"/>
        <w:rPr>
          <w:sz w:val="21"/>
          <w:szCs w:val="28"/>
        </w:rPr>
      </w:pPr>
    </w:p>
    <w:p w14:paraId="64F4FE64">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25D03592">
      <w:pPr>
        <w:pStyle w:val="193"/>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3FA3FA74">
      <w:pPr>
        <w:pStyle w:val="194"/>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27294EC2">
      <w:pPr>
        <w:pStyle w:val="151"/>
        <w:framePr w:h="584" w:hRule="exact" w:hSpace="181" w:vSpace="181" w:wrap="around" w:vAnchor="page" w:hAnchor="page" w:x="2393" w:y="14812"/>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12F919E">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3E3B84F">
      <w:pPr>
        <w:pStyle w:val="91"/>
        <w:spacing w:after="360"/>
        <w:rPr>
          <w:rFonts w:hint="eastAsia"/>
        </w:rPr>
      </w:pPr>
      <w:bookmarkStart w:id="14" w:name="BookMark1"/>
      <w:r>
        <w:rPr>
          <w:rFonts w:hint="eastAsia"/>
          <w:spacing w:val="320"/>
        </w:rPr>
        <w:t>目</w:t>
      </w:r>
      <w:r>
        <w:rPr>
          <w:rFonts w:hint="eastAsia"/>
        </w:rPr>
        <w:t>次</w:t>
      </w:r>
    </w:p>
    <w:p w14:paraId="3CCD966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"_Toc204603861"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_Toc204603861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60F0DF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"_Toc204603862"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_Toc204603862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A97607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"_Toc204603863"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_Toc204603863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C5CCE1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"_Toc204603864"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_Toc204603864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F5AEA7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"_Toc204603865" </w:instrText>
      </w:r>
      <w:r>
        <w:fldChar w:fldCharType="separate"/>
      </w:r>
      <w:r>
        <w:rPr>
          <w:rStyle w:val="32"/>
          <w:rFonts w:hint="eastAsia"/>
        </w:rPr>
        <w:t>4</w:t>
      </w:r>
      <w:r>
        <w:rPr>
          <w:rStyle w:val="32"/>
        </w:rPr>
        <w:t xml:space="preserve"> </w:t>
      </w:r>
      <w:r>
        <w:rPr>
          <w:rStyle w:val="32"/>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_Toc204603865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DE10A0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"_Toc204603866" </w:instrText>
      </w:r>
      <w:r>
        <w:fldChar w:fldCharType="separate"/>
      </w:r>
      <w:r>
        <w:rPr>
          <w:rStyle w:val="32"/>
          <w:rFonts w:hint="eastAsia"/>
        </w:rPr>
        <w:t>5</w:t>
      </w:r>
      <w:r>
        <w:rPr>
          <w:rStyle w:val="32"/>
        </w:rPr>
        <w:t xml:space="preserve"> </w:t>
      </w:r>
      <w:r>
        <w:rPr>
          <w:rStyle w:val="32"/>
          <w:rFonts w:hint="eastAsia"/>
        </w:rPr>
        <w:t xml:space="preserve"> 构件安装</w:t>
      </w:r>
      <w:r>
        <w:rPr>
          <w:rFonts w:hint="eastAsia"/>
        </w:rPr>
        <w:tab/>
      </w:r>
      <w:r>
        <w:rPr>
          <w:rFonts w:hint="eastAsia"/>
        </w:rPr>
        <w:fldChar w:fldCharType="begin"/>
      </w:r>
      <w:r>
        <w:rPr>
          <w:rFonts w:hint="eastAsia"/>
        </w:rPr>
        <w:instrText xml:space="preserve"> </w:instrText>
      </w:r>
      <w:r>
        <w:instrText xml:space="preserve">PAGEREF _Toc204603866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D4B917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"_Toc204603867" </w:instrText>
      </w:r>
      <w:r>
        <w:fldChar w:fldCharType="separate"/>
      </w:r>
      <w:r>
        <w:rPr>
          <w:rStyle w:val="32"/>
          <w:rFonts w:hint="eastAsia"/>
        </w:rPr>
        <w:t>6</w:t>
      </w:r>
      <w:r>
        <w:rPr>
          <w:rStyle w:val="32"/>
        </w:rPr>
        <w:t xml:space="preserve"> </w:t>
      </w:r>
      <w:r>
        <w:rPr>
          <w:rStyle w:val="32"/>
          <w:rFonts w:hint="eastAsia"/>
        </w:rPr>
        <w:t xml:space="preserve"> 节点施工</w:t>
      </w:r>
      <w:r>
        <w:rPr>
          <w:rFonts w:hint="eastAsia"/>
        </w:rPr>
        <w:tab/>
      </w:r>
      <w:r>
        <w:rPr>
          <w:rFonts w:hint="eastAsia"/>
        </w:rPr>
        <w:fldChar w:fldCharType="begin"/>
      </w:r>
      <w:r>
        <w:rPr>
          <w:rFonts w:hint="eastAsia"/>
        </w:rPr>
        <w:instrText xml:space="preserve"> </w:instrText>
      </w:r>
      <w:r>
        <w:instrText xml:space="preserve">PAGEREF _Toc204603867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718DFB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"_Toc204603868" </w:instrText>
      </w:r>
      <w:r>
        <w:fldChar w:fldCharType="separate"/>
      </w:r>
      <w:r>
        <w:rPr>
          <w:rStyle w:val="32"/>
          <w:rFonts w:hint="eastAsia"/>
        </w:rPr>
        <w:t>7</w:t>
      </w:r>
      <w:r>
        <w:rPr>
          <w:rStyle w:val="32"/>
        </w:rPr>
        <w:t xml:space="preserve"> </w:t>
      </w:r>
      <w:r>
        <w:rPr>
          <w:rStyle w:val="32"/>
          <w:rFonts w:hint="eastAsia"/>
        </w:rPr>
        <w:t xml:space="preserve"> 全质量管理</w:t>
      </w:r>
      <w:r>
        <w:rPr>
          <w:rFonts w:hint="eastAsia"/>
        </w:rPr>
        <w:tab/>
      </w:r>
      <w:r>
        <w:rPr>
          <w:rFonts w:hint="eastAsia"/>
        </w:rPr>
        <w:fldChar w:fldCharType="begin"/>
      </w:r>
      <w:r>
        <w:rPr>
          <w:rFonts w:hint="eastAsia"/>
        </w:rPr>
        <w:instrText xml:space="preserve"> </w:instrText>
      </w:r>
      <w:r>
        <w:instrText xml:space="preserve">PAGEREF _Toc204603868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04B6CF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"_Toc204603869" </w:instrText>
      </w:r>
      <w:r>
        <w:fldChar w:fldCharType="separate"/>
      </w:r>
      <w:r>
        <w:rPr>
          <w:rStyle w:val="32"/>
          <w:rFonts w:hint="eastAsia"/>
        </w:rPr>
        <w:t>8</w:t>
      </w:r>
      <w:r>
        <w:rPr>
          <w:rStyle w:val="32"/>
        </w:rPr>
        <w:t xml:space="preserve"> </w:t>
      </w:r>
      <w:r>
        <w:rPr>
          <w:rStyle w:val="32"/>
          <w:rFonts w:hint="eastAsia"/>
        </w:rPr>
        <w:t xml:space="preserve"> 信息管理</w:t>
      </w:r>
      <w:r>
        <w:rPr>
          <w:rFonts w:hint="eastAsia"/>
        </w:rPr>
        <w:tab/>
      </w:r>
      <w:r>
        <w:rPr>
          <w:rFonts w:hint="eastAsia"/>
        </w:rPr>
        <w:fldChar w:fldCharType="begin"/>
      </w:r>
      <w:r>
        <w:rPr>
          <w:rFonts w:hint="eastAsia"/>
        </w:rPr>
        <w:instrText xml:space="preserve"> </w:instrText>
      </w:r>
      <w:r>
        <w:instrText xml:space="preserve">PAGEREF _Toc204603869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04FA47D4">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4"/>
    <w:p w14:paraId="40A136A9">
      <w:pPr>
        <w:pStyle w:val="89"/>
        <w:spacing w:before="900" w:after="360"/>
        <w:rPr>
          <w:rFonts w:hint="eastAsia"/>
        </w:rPr>
      </w:pPr>
      <w:bookmarkStart w:id="15" w:name="_Toc204603861"/>
      <w:bookmarkStart w:id="16" w:name="BookMark2"/>
      <w:r>
        <w:rPr>
          <w:rFonts w:hint="eastAsia"/>
          <w:spacing w:val="320"/>
        </w:rPr>
        <w:t>前</w:t>
      </w:r>
      <w:r>
        <w:rPr>
          <w:rFonts w:hint="eastAsia"/>
        </w:rPr>
        <w:t>言</w:t>
      </w:r>
      <w:bookmarkEnd w:id="15"/>
    </w:p>
    <w:p w14:paraId="2D077575">
      <w:pPr>
        <w:pStyle w:val="56"/>
        <w:ind w:firstLine="420"/>
        <w:rPr>
          <w:rFonts w:hint="eastAsia"/>
        </w:rPr>
      </w:pPr>
      <w:r>
        <w:rPr>
          <w:rFonts w:hint="eastAsia"/>
        </w:rPr>
        <w:t>本文件按照GB/T 1.1—2020《标准化工作导则  第1部分：标准化文件的结构和起草规则》的规定起草。</w:t>
      </w:r>
    </w:p>
    <w:p w14:paraId="1BBB1D5F">
      <w:pPr>
        <w:pStyle w:val="56"/>
        <w:ind w:firstLine="420"/>
      </w:pPr>
      <w:r>
        <w:rPr>
          <w:rFonts w:hint="eastAsia"/>
        </w:rPr>
        <w:t>请注意本文件的某些内容可能涉及专利。本文件的发布机构不承担识别专利的责任。</w:t>
      </w:r>
    </w:p>
    <w:p w14:paraId="3BCC2577">
      <w:pPr>
        <w:pStyle w:val="56"/>
        <w:ind w:firstLine="420"/>
        <w:rPr>
          <w:rFonts w:hint="eastAsia"/>
        </w:rPr>
      </w:pPr>
      <w:r>
        <w:rPr>
          <w:rFonts w:hint="eastAsia"/>
        </w:rPr>
        <w:t>本文件由新疆农业大学提出。</w:t>
      </w:r>
    </w:p>
    <w:p w14:paraId="4667BFA1">
      <w:pPr>
        <w:pStyle w:val="56"/>
        <w:ind w:firstLine="420"/>
        <w:rPr>
          <w:rFonts w:hint="eastAsia"/>
        </w:rPr>
      </w:pPr>
      <w:r>
        <w:rPr>
          <w:rFonts w:hint="eastAsia"/>
        </w:rPr>
        <w:t>本文件由中国西部开发促进会归口。</w:t>
      </w:r>
    </w:p>
    <w:p w14:paraId="53BD80F7">
      <w:pPr>
        <w:pStyle w:val="56"/>
        <w:ind w:firstLine="420"/>
        <w:rPr>
          <w:rFonts w:hint="eastAsia" w:eastAsia="宋体"/>
          <w:lang w:eastAsia="zh-CN"/>
        </w:rPr>
      </w:pPr>
      <w:r>
        <w:rPr>
          <w:rFonts w:hint="eastAsia"/>
        </w:rPr>
        <w:t>本文件起草单位：新疆农业大学</w:t>
      </w:r>
      <w:r>
        <w:rPr>
          <w:rFonts w:hint="eastAsia"/>
          <w:lang w:eastAsia="zh-CN"/>
        </w:rPr>
        <w:t>。</w:t>
      </w:r>
    </w:p>
    <w:p w14:paraId="3981D311">
      <w:pPr>
        <w:pStyle w:val="56"/>
        <w:ind w:firstLine="420"/>
        <w:rPr>
          <w:rFonts w:hint="eastAsia" w:eastAsia="宋体"/>
          <w:lang w:eastAsia="zh-CN"/>
        </w:rPr>
      </w:pPr>
      <w:r>
        <w:rPr>
          <w:rFonts w:hint="eastAsia"/>
        </w:rPr>
        <w:t>本文件主要起草人：</w:t>
      </w:r>
    </w:p>
    <w:p w14:paraId="186CBFF5">
      <w:pPr>
        <w:pStyle w:val="56"/>
        <w:ind w:firstLine="420"/>
        <w:rPr>
          <w:rFonts w:hint="eastAsia"/>
        </w:rPr>
      </w:pPr>
    </w:p>
    <w:p w14:paraId="4A37DF8C">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16"/>
    <w:p w14:paraId="18F1FB25">
      <w:pPr>
        <w:spacing w:line="20" w:lineRule="exact"/>
        <w:jc w:val="center"/>
        <w:rPr>
          <w:rFonts w:hint="eastAsia" w:ascii="黑体" w:hAnsi="黑体" w:eastAsia="黑体"/>
          <w:sz w:val="32"/>
          <w:szCs w:val="32"/>
        </w:rPr>
      </w:pPr>
      <w:bookmarkStart w:id="17" w:name="BookMark4"/>
    </w:p>
    <w:p w14:paraId="163C7C62">
      <w:pPr>
        <w:spacing w:line="20" w:lineRule="exact"/>
        <w:jc w:val="center"/>
        <w:rPr>
          <w:rFonts w:hint="eastAsia" w:ascii="黑体" w:hAnsi="黑体" w:eastAsia="黑体"/>
          <w:sz w:val="32"/>
          <w:szCs w:val="32"/>
        </w:rPr>
      </w:pPr>
    </w:p>
    <w:sdt>
      <w:sdtPr>
        <w:tag w:val="NEW_STAND_NAME"/>
        <w:id w:val="595910757"/>
        <w:lock w:val="sdtLocked"/>
        <w:placeholder>
          <w:docPart w:val="D10CADBCDD7D4806B405C36B17278845"/>
        </w:placeholder>
      </w:sdtPr>
      <w:sdtContent>
        <w:p w14:paraId="297C7496">
          <w:pPr>
            <w:pStyle w:val="177"/>
            <w:spacing w:before="2" w:beforeLines="1" w:after="528" w:afterLines="220"/>
            <w:rPr>
              <w:rFonts w:hint="eastAsia"/>
            </w:rPr>
          </w:pPr>
          <w:bookmarkStart w:id="18" w:name="NEW_STAND_NAME"/>
          <w:r>
            <w:rPr>
              <w:rFonts w:hint="eastAsia"/>
            </w:rPr>
            <w:t>工业化装配式混凝土建筑项目施工技术规程</w:t>
          </w:r>
        </w:p>
      </w:sdtContent>
    </w:sdt>
    <w:bookmarkEnd w:id="18"/>
    <w:p w14:paraId="26916A6F">
      <w:pPr>
        <w:pStyle w:val="104"/>
        <w:spacing w:before="240" w:after="240"/>
      </w:pPr>
      <w:bookmarkStart w:id="19" w:name="_Toc204603862"/>
      <w:bookmarkStart w:id="20" w:name="_Toc97192964"/>
      <w:bookmarkStart w:id="21" w:name="_Toc24884218"/>
      <w:bookmarkStart w:id="22" w:name="_Toc17233333"/>
      <w:bookmarkStart w:id="23" w:name="_Toc17233325"/>
      <w:bookmarkStart w:id="24" w:name="_Toc26718930"/>
      <w:bookmarkStart w:id="25" w:name="_Toc26986771"/>
      <w:bookmarkStart w:id="26" w:name="_Toc26986530"/>
      <w:bookmarkStart w:id="27" w:name="_Toc24884211"/>
      <w:bookmarkStart w:id="28" w:name="_Toc26648465"/>
      <w:r>
        <w:rPr>
          <w:rFonts w:hint="eastAsia"/>
        </w:rPr>
        <w:t>范围</w:t>
      </w:r>
      <w:bookmarkEnd w:id="19"/>
      <w:bookmarkEnd w:id="20"/>
      <w:bookmarkEnd w:id="21"/>
      <w:bookmarkEnd w:id="22"/>
      <w:bookmarkEnd w:id="23"/>
      <w:bookmarkEnd w:id="24"/>
      <w:bookmarkEnd w:id="25"/>
      <w:bookmarkEnd w:id="26"/>
      <w:bookmarkEnd w:id="27"/>
      <w:bookmarkEnd w:id="28"/>
    </w:p>
    <w:p w14:paraId="696EAB61">
      <w:pPr>
        <w:pStyle w:val="56"/>
        <w:ind w:firstLine="420"/>
        <w:rPr>
          <w:rFonts w:hint="eastAsia"/>
        </w:rPr>
      </w:pPr>
      <w:bookmarkStart w:id="29" w:name="_Toc26648466"/>
      <w:bookmarkStart w:id="30" w:name="_Toc24884219"/>
      <w:bookmarkStart w:id="31" w:name="_Toc24884212"/>
      <w:bookmarkStart w:id="32" w:name="_Toc17233334"/>
      <w:bookmarkStart w:id="33" w:name="_Toc17233326"/>
      <w:r>
        <w:rPr>
          <w:rFonts w:hint="eastAsia"/>
        </w:rPr>
        <w:t>本文件规定了工业化装配式混凝土建筑项目施工的术语和定义、施工准备、构件安装、节点施工、全质量管理、信息管理。</w:t>
      </w:r>
    </w:p>
    <w:p w14:paraId="33ACEE8B">
      <w:pPr>
        <w:pStyle w:val="56"/>
        <w:ind w:firstLine="420"/>
      </w:pPr>
      <w:r>
        <w:rPr>
          <w:rFonts w:hint="eastAsia"/>
        </w:rPr>
        <w:t>本文件适用于工业化装配式混凝土建筑项目施工。</w:t>
      </w:r>
    </w:p>
    <w:p w14:paraId="0C480DE6">
      <w:pPr>
        <w:pStyle w:val="104"/>
        <w:spacing w:before="240" w:after="240"/>
      </w:pPr>
      <w:bookmarkStart w:id="34" w:name="_Toc26986531"/>
      <w:bookmarkStart w:id="35" w:name="_Toc26718931"/>
      <w:bookmarkStart w:id="36" w:name="_Toc26986772"/>
      <w:bookmarkStart w:id="37" w:name="_Toc97192965"/>
      <w:bookmarkStart w:id="38" w:name="_Toc204603863"/>
      <w:r>
        <w:rPr>
          <w:rFonts w:hint="eastAsia"/>
        </w:rPr>
        <w:t>规范性引用文件</w:t>
      </w:r>
      <w:bookmarkEnd w:id="29"/>
      <w:bookmarkEnd w:id="30"/>
      <w:bookmarkEnd w:id="31"/>
      <w:bookmarkEnd w:id="32"/>
      <w:bookmarkEnd w:id="33"/>
      <w:bookmarkEnd w:id="34"/>
      <w:bookmarkEnd w:id="35"/>
      <w:bookmarkEnd w:id="36"/>
      <w:bookmarkEnd w:id="37"/>
      <w:bookmarkEnd w:id="38"/>
    </w:p>
    <w:sdt>
      <w:sdtPr>
        <w:rPr>
          <w:rFonts w:hint="eastAsia"/>
        </w:rPr>
        <w:id w:val="715848253"/>
        <w:placeholder>
          <w:docPart w:val="157830832EDA482EAB3318F01575D0C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349DFA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87A3DA8">
      <w:pPr>
        <w:pStyle w:val="56"/>
        <w:ind w:firstLine="420"/>
        <w:rPr>
          <w:rFonts w:hint="eastAsia"/>
        </w:rPr>
      </w:pPr>
      <w:r>
        <w:t>GB 50204</w:t>
      </w:r>
      <w:r>
        <w:rPr>
          <w:rFonts w:hint="eastAsia"/>
        </w:rPr>
        <w:t xml:space="preserve"> 混凝土结构工程施工质量验收规范</w:t>
      </w:r>
    </w:p>
    <w:p w14:paraId="0415B026">
      <w:pPr>
        <w:pStyle w:val="56"/>
        <w:ind w:firstLine="420"/>
        <w:rPr>
          <w:rFonts w:hint="eastAsia"/>
        </w:rPr>
      </w:pPr>
      <w:r>
        <w:t>JGJ 1</w:t>
      </w:r>
      <w:r>
        <w:rPr>
          <w:rFonts w:hint="eastAsia"/>
        </w:rPr>
        <w:t xml:space="preserve"> 装配式混凝土结构技术规程</w:t>
      </w:r>
    </w:p>
    <w:p w14:paraId="4F134C83">
      <w:pPr>
        <w:pStyle w:val="104"/>
        <w:spacing w:before="240" w:after="240"/>
      </w:pPr>
      <w:bookmarkStart w:id="39" w:name="_Toc97192966"/>
      <w:bookmarkStart w:id="40" w:name="_Toc204603864"/>
      <w:r>
        <w:rPr>
          <w:rFonts w:hint="eastAsia"/>
          <w:szCs w:val="21"/>
        </w:rPr>
        <w:t>术语和定义</w:t>
      </w:r>
      <w:bookmarkEnd w:id="39"/>
      <w:bookmarkEnd w:id="40"/>
    </w:p>
    <w:sdt>
      <w:sdtPr>
        <w:id w:val="-1909835108"/>
        <w:placeholder>
          <w:docPart w:val="B2F886936279444F9197E3461DF6E9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26B2BF6">
          <w:pPr>
            <w:pStyle w:val="56"/>
            <w:ind w:firstLine="420"/>
          </w:pPr>
          <w:bookmarkStart w:id="41" w:name="_Toc26986532"/>
          <w:bookmarkEnd w:id="41"/>
          <w:r>
            <w:t>下列术语和定义适用于本文件。</w:t>
          </w:r>
        </w:p>
      </w:sdtContent>
    </w:sdt>
    <w:p w14:paraId="24A06C8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装配式建筑 p</w:t>
      </w:r>
      <w:r>
        <w:rPr>
          <w:rFonts w:ascii="黑体" w:hAnsi="黑体" w:eastAsia="黑体"/>
        </w:rPr>
        <w:t>refabricated building</w:t>
      </w:r>
    </w:p>
    <w:p w14:paraId="396FE8F5">
      <w:pPr>
        <w:pStyle w:val="56"/>
        <w:ind w:firstLine="420"/>
        <w:rPr>
          <w:rFonts w:hint="eastAsia"/>
        </w:rPr>
      </w:pPr>
      <w:r>
        <w:rPr>
          <w:rFonts w:hint="eastAsia"/>
        </w:rPr>
        <w:t>预制构件在工厂生产，现场装配构成的结构体系，分为全装配式与半装配式。</w:t>
      </w:r>
    </w:p>
    <w:p w14:paraId="1548DEA7">
      <w:pPr>
        <w:pStyle w:val="223"/>
        <w:ind w:left="420" w:hanging="420" w:hangingChars="200"/>
        <w:rPr>
          <w:rFonts w:hint="eastAsia" w:ascii="黑体" w:hAnsi="黑体" w:eastAsia="黑体"/>
        </w:rPr>
      </w:pPr>
      <w:bookmarkStart w:id="42" w:name="_Hlk204603600"/>
      <w:r>
        <w:rPr>
          <w:rFonts w:ascii="黑体" w:hAnsi="黑体" w:eastAsia="黑体"/>
        </w:rPr>
        <w:br w:type="textWrapping"/>
      </w:r>
      <w:r>
        <w:rPr>
          <w:rFonts w:hint="eastAsia" w:ascii="黑体" w:hAnsi="黑体" w:eastAsia="黑体"/>
        </w:rPr>
        <w:t>预制构件 p</w:t>
      </w:r>
      <w:r>
        <w:rPr>
          <w:rFonts w:ascii="黑体" w:hAnsi="黑体" w:eastAsia="黑体"/>
        </w:rPr>
        <w:t>refabricated components</w:t>
      </w:r>
    </w:p>
    <w:bookmarkEnd w:id="42"/>
    <w:p w14:paraId="54824532">
      <w:pPr>
        <w:pStyle w:val="56"/>
        <w:ind w:firstLine="420"/>
      </w:pPr>
      <w:r>
        <w:rPr>
          <w:rFonts w:hint="eastAsia"/>
        </w:rPr>
        <w:t>在工厂中预先生产,符合设计要求的,线形或立体形混凝土构件。</w:t>
      </w:r>
    </w:p>
    <w:p w14:paraId="79637F53">
      <w:pPr>
        <w:pStyle w:val="104"/>
        <w:spacing w:before="240" w:after="240"/>
        <w:rPr>
          <w:rFonts w:hint="eastAsia"/>
        </w:rPr>
      </w:pPr>
      <w:bookmarkStart w:id="43" w:name="_Toc204603865"/>
      <w:r>
        <w:rPr>
          <w:rFonts w:hint="eastAsia"/>
        </w:rPr>
        <w:t>施工准备</w:t>
      </w:r>
      <w:bookmarkEnd w:id="43"/>
    </w:p>
    <w:p w14:paraId="79189DEB">
      <w:pPr>
        <w:pStyle w:val="105"/>
        <w:spacing w:before="120" w:after="120"/>
        <w:rPr>
          <w:rFonts w:hint="eastAsia"/>
        </w:rPr>
      </w:pPr>
      <w:r>
        <w:rPr>
          <w:rFonts w:hint="eastAsia"/>
        </w:rPr>
        <w:t>技术准备</w:t>
      </w:r>
    </w:p>
    <w:p w14:paraId="406F297F">
      <w:pPr>
        <w:pStyle w:val="165"/>
        <w:rPr>
          <w:rFonts w:hint="eastAsia"/>
        </w:rPr>
      </w:pPr>
      <w:r>
        <w:rPr>
          <w:rFonts w:hint="eastAsia"/>
        </w:rPr>
        <w:t>施工单位应组织深化设计图纸联合审查，重点核对预制构件尺寸、连接节点构造、预埋件定位及设备管线预留孔洞的兼容性。</w:t>
      </w:r>
    </w:p>
    <w:p w14:paraId="0397C0FC">
      <w:pPr>
        <w:pStyle w:val="165"/>
        <w:rPr>
          <w:rFonts w:hint="eastAsia"/>
        </w:rPr>
      </w:pPr>
      <w:r>
        <w:rPr>
          <w:rFonts w:hint="eastAsia"/>
        </w:rPr>
        <w:t>施工前应编制专项施工方案，明确吊装工艺、支撑体系、节点施工流程及安全质量控制措施，并经技术负责人审批。</w:t>
      </w:r>
    </w:p>
    <w:p w14:paraId="6FD340D6">
      <w:pPr>
        <w:pStyle w:val="165"/>
        <w:rPr>
          <w:rFonts w:hint="eastAsia"/>
        </w:rPr>
      </w:pPr>
      <w:r>
        <w:rPr>
          <w:rFonts w:hint="eastAsia"/>
        </w:rPr>
        <w:t>应实施分级技术交底：</w:t>
      </w:r>
    </w:p>
    <w:p w14:paraId="166B41EA">
      <w:pPr>
        <w:pStyle w:val="132"/>
        <w:rPr>
          <w:rFonts w:hint="eastAsia"/>
        </w:rPr>
      </w:pPr>
      <w:r>
        <w:rPr>
          <w:rFonts w:hint="eastAsia"/>
        </w:rPr>
        <w:t>项目总工应向施工管理人员交底方案关键技术；</w:t>
      </w:r>
    </w:p>
    <w:p w14:paraId="2BCC5E57">
      <w:pPr>
        <w:pStyle w:val="132"/>
        <w:rPr>
          <w:rFonts w:hint="eastAsia"/>
        </w:rPr>
      </w:pPr>
      <w:r>
        <w:rPr>
          <w:rFonts w:hint="eastAsia"/>
        </w:rPr>
        <w:t>施工员应向作业班组交底操作要点及验收标准。</w:t>
      </w:r>
    </w:p>
    <w:p w14:paraId="5A4BE926">
      <w:pPr>
        <w:pStyle w:val="165"/>
        <w:rPr>
          <w:rFonts w:hint="eastAsia"/>
        </w:rPr>
      </w:pPr>
      <w:r>
        <w:rPr>
          <w:rFonts w:hint="eastAsia"/>
        </w:rPr>
        <w:t>宜采用建筑信息模型技术进行施工过程模拟，对复杂节点安装路径、临时支撑布置进行碰撞检测与优化。</w:t>
      </w:r>
    </w:p>
    <w:p w14:paraId="2D3C43D4">
      <w:pPr>
        <w:pStyle w:val="165"/>
        <w:rPr>
          <w:rFonts w:hint="eastAsia"/>
        </w:rPr>
      </w:pPr>
      <w:r>
        <w:rPr>
          <w:rFonts w:hint="eastAsia"/>
        </w:rPr>
        <w:t>应制定测量控制方案，确定平面控制网、高程基准点及构件安装定位复核方法，全站仪等设备应检定合格。</w:t>
      </w:r>
    </w:p>
    <w:p w14:paraId="14857370">
      <w:pPr>
        <w:pStyle w:val="105"/>
        <w:spacing w:before="120" w:after="120"/>
        <w:rPr>
          <w:rFonts w:hint="eastAsia"/>
        </w:rPr>
      </w:pPr>
      <w:r>
        <w:rPr>
          <w:rFonts w:hint="eastAsia"/>
        </w:rPr>
        <w:t>构件供应管理</w:t>
      </w:r>
    </w:p>
    <w:p w14:paraId="5EAA4ACE">
      <w:pPr>
        <w:pStyle w:val="165"/>
        <w:rPr>
          <w:rFonts w:hint="eastAsia"/>
        </w:rPr>
      </w:pPr>
      <w:r>
        <w:rPr>
          <w:rFonts w:hint="eastAsia"/>
        </w:rPr>
        <w:t>应建立构件生产、运输与现场吊装的协同计划，明确分批进场时间、堆放区域及应急调配机制。</w:t>
      </w:r>
    </w:p>
    <w:p w14:paraId="4604A6BD">
      <w:pPr>
        <w:pStyle w:val="165"/>
        <w:rPr>
          <w:rFonts w:hint="eastAsia"/>
        </w:rPr>
      </w:pPr>
      <w:r>
        <w:rPr>
          <w:rFonts w:hint="eastAsia"/>
        </w:rPr>
        <w:t>预制构件出厂前，施工单位应参与联合验收，核查产品合格证、原材料检测报告、灌浆套筒工艺检验记录等文件。</w:t>
      </w:r>
    </w:p>
    <w:p w14:paraId="3B7D7BB3">
      <w:pPr>
        <w:pStyle w:val="165"/>
        <w:rPr>
          <w:rFonts w:hint="eastAsia"/>
        </w:rPr>
      </w:pPr>
      <w:r>
        <w:rPr>
          <w:rFonts w:hint="eastAsia"/>
        </w:rPr>
        <w:t>构件运输方案应规定车辆选型、装车固定方式、限高限速要求及运输路线勘察，避免运输损伤。</w:t>
      </w:r>
    </w:p>
    <w:p w14:paraId="57FF501A">
      <w:pPr>
        <w:pStyle w:val="165"/>
        <w:rPr>
          <w:rFonts w:hint="eastAsia"/>
        </w:rPr>
      </w:pPr>
      <w:r>
        <w:rPr>
          <w:rFonts w:hint="eastAsia"/>
        </w:rPr>
        <w:t>现场应设置专用堆放场地，场地地基承载力应满足要求，构件支垫高度不宜低于200 mm，多层堆放时支点位置应上下对齐。</w:t>
      </w:r>
    </w:p>
    <w:p w14:paraId="3399A358">
      <w:pPr>
        <w:pStyle w:val="105"/>
        <w:spacing w:before="120" w:after="120"/>
        <w:rPr>
          <w:rFonts w:hint="eastAsia"/>
        </w:rPr>
      </w:pPr>
      <w:r>
        <w:rPr>
          <w:rFonts w:hint="eastAsia"/>
        </w:rPr>
        <w:t>机具与材料准备</w:t>
      </w:r>
    </w:p>
    <w:p w14:paraId="281C471B">
      <w:pPr>
        <w:pStyle w:val="165"/>
        <w:rPr>
          <w:rFonts w:hint="eastAsia"/>
        </w:rPr>
      </w:pPr>
      <w:r>
        <w:rPr>
          <w:rFonts w:hint="eastAsia"/>
        </w:rPr>
        <w:t>起重设备选型应核算构件最大起重量、吊装半径及高度，塔吊附墙件位置应与预制构件预埋件协调。</w:t>
      </w:r>
    </w:p>
    <w:p w14:paraId="5FE08C02">
      <w:pPr>
        <w:pStyle w:val="165"/>
        <w:rPr>
          <w:rFonts w:hint="eastAsia"/>
        </w:rPr>
      </w:pPr>
      <w:r>
        <w:rPr>
          <w:rFonts w:hint="eastAsia"/>
        </w:rPr>
        <w:t>应配备专用吊具：</w:t>
      </w:r>
    </w:p>
    <w:p w14:paraId="44680138">
      <w:pPr>
        <w:pStyle w:val="132"/>
        <w:rPr>
          <w:rFonts w:hint="eastAsia"/>
        </w:rPr>
      </w:pPr>
      <w:r>
        <w:rPr>
          <w:rFonts w:hint="eastAsia"/>
        </w:rPr>
        <w:t>吊梁应具有调节平衡功能；</w:t>
      </w:r>
    </w:p>
    <w:p w14:paraId="650388AC">
      <w:pPr>
        <w:pStyle w:val="132"/>
        <w:rPr>
          <w:rFonts w:hint="eastAsia"/>
        </w:rPr>
      </w:pPr>
      <w:r>
        <w:rPr>
          <w:rFonts w:hint="eastAsia"/>
        </w:rPr>
        <w:t>吊钩宜配置防脱扣装置。</w:t>
      </w:r>
    </w:p>
    <w:p w14:paraId="539F2BB0">
      <w:pPr>
        <w:pStyle w:val="165"/>
        <w:rPr>
          <w:rFonts w:hint="eastAsia"/>
        </w:rPr>
      </w:pPr>
      <w:r>
        <w:rPr>
          <w:rFonts w:hint="eastAsia"/>
        </w:rPr>
        <w:t>临时支撑系统应满足强度和稳定性要求：</w:t>
      </w:r>
    </w:p>
    <w:p w14:paraId="1C5BECC9">
      <w:pPr>
        <w:pStyle w:val="132"/>
        <w:rPr>
          <w:rFonts w:hint="eastAsia"/>
        </w:rPr>
      </w:pPr>
      <w:r>
        <w:rPr>
          <w:rFonts w:hint="eastAsia"/>
        </w:rPr>
        <w:t>竖向构件斜撑承载力应覆盖最不利荷载工况；</w:t>
      </w:r>
    </w:p>
    <w:p w14:paraId="0D979970">
      <w:pPr>
        <w:pStyle w:val="132"/>
        <w:rPr>
          <w:rFonts w:hint="eastAsia"/>
        </w:rPr>
      </w:pPr>
      <w:r>
        <w:rPr>
          <w:rFonts w:hint="eastAsia"/>
        </w:rPr>
        <w:t>水平构件独立支撑间距应通过计算确定。</w:t>
      </w:r>
    </w:p>
    <w:p w14:paraId="0BE61CEE">
      <w:pPr>
        <w:pStyle w:val="165"/>
        <w:rPr>
          <w:rFonts w:hint="eastAsia"/>
        </w:rPr>
      </w:pPr>
      <w:r>
        <w:rPr>
          <w:rFonts w:hint="eastAsia"/>
        </w:rPr>
        <w:t>灌浆料、座浆料等关键材料应提前28天进行工艺性试验，验证流动性、强度及施工适应性。</w:t>
      </w:r>
    </w:p>
    <w:p w14:paraId="49A8F9AF">
      <w:pPr>
        <w:pStyle w:val="105"/>
        <w:spacing w:before="120" w:after="120"/>
        <w:rPr>
          <w:rFonts w:hint="eastAsia"/>
        </w:rPr>
      </w:pPr>
      <w:r>
        <w:rPr>
          <w:rFonts w:hint="eastAsia"/>
        </w:rPr>
        <w:t>现场布置</w:t>
      </w:r>
    </w:p>
    <w:p w14:paraId="727F9141">
      <w:pPr>
        <w:pStyle w:val="165"/>
        <w:rPr>
          <w:rFonts w:hint="eastAsia"/>
        </w:rPr>
      </w:pPr>
      <w:r>
        <w:rPr>
          <w:rFonts w:hint="eastAsia"/>
        </w:rPr>
        <w:t>现场道路应硬化处理，转弯半径及承载力应满足构件运输车辆通行要求，宜设置循环通道避免堵塞。</w:t>
      </w:r>
    </w:p>
    <w:p w14:paraId="22F44CEC">
      <w:pPr>
        <w:pStyle w:val="165"/>
        <w:rPr>
          <w:rFonts w:hint="eastAsia"/>
        </w:rPr>
      </w:pPr>
      <w:r>
        <w:rPr>
          <w:rFonts w:hint="eastAsia"/>
        </w:rPr>
        <w:t>构件堆场应分区管理，按吊装顺序分类存放，距安装位置不宜超过塔吊额定工作范围80%。</w:t>
      </w:r>
    </w:p>
    <w:p w14:paraId="1137B934">
      <w:pPr>
        <w:pStyle w:val="165"/>
        <w:rPr>
          <w:rFonts w:hint="eastAsia"/>
        </w:rPr>
      </w:pPr>
      <w:r>
        <w:rPr>
          <w:rFonts w:hint="eastAsia"/>
        </w:rPr>
        <w:t>应规划灌浆料搅拌站、工具房等临时设施位置，减少二次搬运。</w:t>
      </w:r>
    </w:p>
    <w:p w14:paraId="21C8AD99">
      <w:pPr>
        <w:pStyle w:val="165"/>
        <w:rPr>
          <w:rFonts w:hint="eastAsia"/>
        </w:rPr>
      </w:pPr>
      <w:r>
        <w:rPr>
          <w:rFonts w:hint="eastAsia"/>
        </w:rPr>
        <w:t>危险区域应设置隔离警示，高空作业操作平台及安全防护网应同步搭设。</w:t>
      </w:r>
    </w:p>
    <w:p w14:paraId="06C9EE1A">
      <w:pPr>
        <w:pStyle w:val="105"/>
        <w:spacing w:before="120" w:after="120"/>
        <w:rPr>
          <w:rFonts w:hint="eastAsia"/>
        </w:rPr>
      </w:pPr>
      <w:r>
        <w:rPr>
          <w:rFonts w:hint="eastAsia"/>
        </w:rPr>
        <w:t>作业条件确认</w:t>
      </w:r>
    </w:p>
    <w:p w14:paraId="0BC00CD4">
      <w:pPr>
        <w:pStyle w:val="165"/>
        <w:rPr>
          <w:rFonts w:hint="eastAsia"/>
        </w:rPr>
      </w:pPr>
      <w:r>
        <w:rPr>
          <w:rFonts w:hint="eastAsia"/>
        </w:rPr>
        <w:t>基础或下部结构应完成验收，预埋定位螺栓、垫片标高偏差不应大于3 mm。</w:t>
      </w:r>
    </w:p>
    <w:p w14:paraId="61B8C907">
      <w:pPr>
        <w:pStyle w:val="165"/>
        <w:rPr>
          <w:rFonts w:hint="eastAsia"/>
        </w:rPr>
      </w:pPr>
      <w:r>
        <w:rPr>
          <w:rFonts w:hint="eastAsia"/>
        </w:rPr>
        <w:t>灌浆作业前应核查环境温度：</w:t>
      </w:r>
    </w:p>
    <w:p w14:paraId="0904EB3C">
      <w:pPr>
        <w:pStyle w:val="132"/>
        <w:rPr>
          <w:rFonts w:hint="eastAsia"/>
        </w:rPr>
      </w:pPr>
      <w:r>
        <w:rPr>
          <w:rFonts w:hint="eastAsia"/>
        </w:rPr>
        <w:t>低于5 ℃时应采取加热保温措施；</w:t>
      </w:r>
    </w:p>
    <w:p w14:paraId="1CC12089">
      <w:pPr>
        <w:pStyle w:val="132"/>
        <w:rPr>
          <w:rFonts w:hint="eastAsia"/>
        </w:rPr>
      </w:pPr>
      <w:r>
        <w:rPr>
          <w:rFonts w:hint="eastAsia"/>
        </w:rPr>
        <w:t>高于35 ℃时应避开高温时段施工。</w:t>
      </w:r>
    </w:p>
    <w:p w14:paraId="3809E30A">
      <w:pPr>
        <w:pStyle w:val="165"/>
        <w:rPr>
          <w:rFonts w:hint="eastAsia"/>
        </w:rPr>
      </w:pPr>
      <w:r>
        <w:rPr>
          <w:rFonts w:hint="eastAsia"/>
        </w:rPr>
        <w:t>首层首个构件安装应进行首件验收，验证测量放线、吊装工艺及临时固定有效性。</w:t>
      </w:r>
    </w:p>
    <w:p w14:paraId="380B38F8">
      <w:pPr>
        <w:pStyle w:val="105"/>
        <w:spacing w:before="120" w:after="120"/>
        <w:rPr>
          <w:rFonts w:hint="eastAsia"/>
        </w:rPr>
      </w:pPr>
      <w:r>
        <w:rPr>
          <w:rFonts w:hint="eastAsia"/>
        </w:rPr>
        <w:t>信息化准备</w:t>
      </w:r>
    </w:p>
    <w:p w14:paraId="219550FF">
      <w:pPr>
        <w:pStyle w:val="165"/>
        <w:rPr>
          <w:rFonts w:hint="eastAsia"/>
        </w:rPr>
      </w:pPr>
      <w:r>
        <w:rPr>
          <w:rFonts w:hint="eastAsia"/>
        </w:rPr>
        <w:t>应建立构件信息追溯系统，采用二维码或射频识别技术关联构件生产、运输及安装数据。</w:t>
      </w:r>
    </w:p>
    <w:p w14:paraId="7BEA784E">
      <w:pPr>
        <w:pStyle w:val="165"/>
      </w:pPr>
      <w:r>
        <w:rPr>
          <w:rFonts w:hint="eastAsia"/>
        </w:rPr>
        <w:t>宜部署施工管理平台，集成进度计划、质量验收记录及安全隐患排查信息。</w:t>
      </w:r>
    </w:p>
    <w:p w14:paraId="3D1E3611">
      <w:pPr>
        <w:pStyle w:val="104"/>
        <w:spacing w:before="240" w:after="240"/>
        <w:rPr>
          <w:rFonts w:hint="eastAsia"/>
        </w:rPr>
      </w:pPr>
      <w:bookmarkStart w:id="44" w:name="_Toc204603866"/>
      <w:r>
        <w:rPr>
          <w:rFonts w:hint="eastAsia"/>
        </w:rPr>
        <w:t>构件安装</w:t>
      </w:r>
      <w:bookmarkEnd w:id="44"/>
    </w:p>
    <w:p w14:paraId="4B0D0FDA">
      <w:pPr>
        <w:pStyle w:val="105"/>
        <w:spacing w:before="120" w:after="120"/>
        <w:rPr>
          <w:rFonts w:hint="eastAsia"/>
        </w:rPr>
      </w:pPr>
      <w:r>
        <w:rPr>
          <w:rFonts w:hint="eastAsia"/>
        </w:rPr>
        <w:t>一般规定</w:t>
      </w:r>
    </w:p>
    <w:p w14:paraId="4F260AB1">
      <w:pPr>
        <w:pStyle w:val="165"/>
        <w:rPr>
          <w:rFonts w:hint="eastAsia"/>
        </w:rPr>
      </w:pPr>
      <w:r>
        <w:rPr>
          <w:rFonts w:hint="eastAsia"/>
        </w:rPr>
        <w:t>安装作业应遵循先竖向构件、后水平构件的顺序，特殊结构应编制专项吊装流程。</w:t>
      </w:r>
    </w:p>
    <w:p w14:paraId="017502BE">
      <w:pPr>
        <w:pStyle w:val="165"/>
        <w:rPr>
          <w:rFonts w:hint="eastAsia"/>
        </w:rPr>
      </w:pPr>
      <w:r>
        <w:rPr>
          <w:rFonts w:hint="eastAsia"/>
        </w:rPr>
        <w:t>吊装前应核查构件编号、外观质量及预埋件完整性，损伤超过允许值时应退场处理。</w:t>
      </w:r>
    </w:p>
    <w:p w14:paraId="00F6EFB8">
      <w:pPr>
        <w:pStyle w:val="165"/>
        <w:rPr>
          <w:rFonts w:hint="eastAsia"/>
        </w:rPr>
      </w:pPr>
      <w:r>
        <w:rPr>
          <w:rFonts w:hint="eastAsia"/>
        </w:rPr>
        <w:t>每日安装前应检查起重设备制动系统、吊索具磨损状况及临时支撑稳定性。</w:t>
      </w:r>
    </w:p>
    <w:p w14:paraId="1C571E45">
      <w:pPr>
        <w:pStyle w:val="165"/>
        <w:rPr>
          <w:rFonts w:hint="eastAsia"/>
        </w:rPr>
      </w:pPr>
      <w:r>
        <w:rPr>
          <w:rFonts w:hint="eastAsia"/>
        </w:rPr>
        <w:t>遇六级以上大风、大雨、大雾等恶劣天气应停止高空吊装作业。</w:t>
      </w:r>
    </w:p>
    <w:p w14:paraId="51F76A2F">
      <w:pPr>
        <w:pStyle w:val="105"/>
        <w:spacing w:before="120" w:after="120"/>
        <w:rPr>
          <w:rFonts w:hint="eastAsia"/>
        </w:rPr>
      </w:pPr>
      <w:r>
        <w:rPr>
          <w:rFonts w:hint="eastAsia"/>
        </w:rPr>
        <w:t>竖向构件安装</w:t>
      </w:r>
    </w:p>
    <w:p w14:paraId="1BB17D78">
      <w:pPr>
        <w:pStyle w:val="65"/>
        <w:spacing w:before="120" w:after="120"/>
        <w:rPr>
          <w:rFonts w:hint="eastAsia"/>
        </w:rPr>
      </w:pPr>
      <w:r>
        <w:rPr>
          <w:rFonts w:hint="eastAsia"/>
        </w:rPr>
        <w:t>基层处理</w:t>
      </w:r>
    </w:p>
    <w:p w14:paraId="032729C2">
      <w:pPr>
        <w:pStyle w:val="56"/>
        <w:ind w:firstLine="420"/>
        <w:rPr>
          <w:rFonts w:hint="eastAsia"/>
        </w:rPr>
      </w:pPr>
      <w:r>
        <w:rPr>
          <w:rFonts w:hint="eastAsia"/>
        </w:rPr>
        <w:t>安装面应清理浮浆、油污并湿润，坐浆料宜采用专用模具控制厚度，平整度偏差不应大于5 mm。</w:t>
      </w:r>
    </w:p>
    <w:p w14:paraId="10799DB1">
      <w:pPr>
        <w:pStyle w:val="65"/>
        <w:spacing w:before="120" w:after="120"/>
        <w:rPr>
          <w:rFonts w:hint="eastAsia"/>
        </w:rPr>
      </w:pPr>
      <w:r>
        <w:rPr>
          <w:rFonts w:hint="eastAsia"/>
        </w:rPr>
        <w:t>吊装就位</w:t>
      </w:r>
    </w:p>
    <w:p w14:paraId="29EECACF">
      <w:pPr>
        <w:pStyle w:val="56"/>
        <w:ind w:firstLine="420"/>
        <w:rPr>
          <w:rFonts w:hint="eastAsia"/>
        </w:rPr>
      </w:pPr>
      <w:r>
        <w:rPr>
          <w:rFonts w:hint="eastAsia"/>
        </w:rPr>
        <w:t>吊点应设于设计指定位置，吊索水平夹角不宜小于60°，构件距安装面500 mm时应暂停，人工引导缓慢下落。</w:t>
      </w:r>
    </w:p>
    <w:p w14:paraId="48E736C6">
      <w:pPr>
        <w:pStyle w:val="65"/>
        <w:spacing w:before="120" w:after="120"/>
        <w:rPr>
          <w:rFonts w:hint="eastAsia"/>
        </w:rPr>
      </w:pPr>
      <w:r>
        <w:rPr>
          <w:rFonts w:hint="eastAsia"/>
        </w:rPr>
        <w:t>临时固定</w:t>
      </w:r>
    </w:p>
    <w:p w14:paraId="033254B5">
      <w:pPr>
        <w:pStyle w:val="56"/>
        <w:ind w:firstLine="420"/>
        <w:rPr>
          <w:rFonts w:hint="eastAsia"/>
        </w:rPr>
      </w:pPr>
      <w:r>
        <w:rPr>
          <w:rFonts w:hint="eastAsia"/>
        </w:rPr>
        <w:t>就位后应立即安装可调式斜撑，每件墙体斜撑不应少于2道；柱构件应采用双向调节支撑，垂直度初调偏差不宜大于10 mm。</w:t>
      </w:r>
    </w:p>
    <w:p w14:paraId="3CE86504">
      <w:pPr>
        <w:pStyle w:val="65"/>
        <w:spacing w:before="120" w:after="120"/>
        <w:rPr>
          <w:rFonts w:hint="eastAsia"/>
        </w:rPr>
      </w:pPr>
      <w:r>
        <w:rPr>
          <w:rFonts w:hint="eastAsia"/>
        </w:rPr>
        <w:t>精度校核</w:t>
      </w:r>
    </w:p>
    <w:p w14:paraId="3A782C50">
      <w:pPr>
        <w:pStyle w:val="56"/>
        <w:ind w:firstLine="420"/>
        <w:rPr>
          <w:rFonts w:hint="eastAsia"/>
        </w:rPr>
      </w:pPr>
      <w:r>
        <w:rPr>
          <w:rFonts w:hint="eastAsia"/>
        </w:rPr>
        <w:t>采用全站仪校核轴线位置，激光铅直仪控制垂直度，终调偏差应符合下列要求：</w:t>
      </w:r>
    </w:p>
    <w:p w14:paraId="2F48CC16">
      <w:pPr>
        <w:pStyle w:val="132"/>
        <w:rPr>
          <w:rFonts w:hint="eastAsia"/>
        </w:rPr>
      </w:pPr>
      <w:r>
        <w:rPr>
          <w:rFonts w:hint="eastAsia"/>
        </w:rPr>
        <w:t>轴线位移不应大于5 mm；</w:t>
      </w:r>
    </w:p>
    <w:p w14:paraId="16CA255C">
      <w:pPr>
        <w:pStyle w:val="132"/>
        <w:rPr>
          <w:rFonts w:hint="eastAsia"/>
        </w:rPr>
      </w:pPr>
      <w:r>
        <w:rPr>
          <w:rFonts w:hint="eastAsia"/>
        </w:rPr>
        <w:t>垂直度偏差不应大于H/1000且不大于20 mm（H为构件高度）。</w:t>
      </w:r>
    </w:p>
    <w:p w14:paraId="23A24FAA">
      <w:pPr>
        <w:pStyle w:val="105"/>
        <w:spacing w:before="120" w:after="120"/>
        <w:rPr>
          <w:rFonts w:hint="eastAsia"/>
        </w:rPr>
      </w:pPr>
      <w:r>
        <w:rPr>
          <w:rFonts w:hint="eastAsia"/>
        </w:rPr>
        <w:t>水平构件安装</w:t>
      </w:r>
    </w:p>
    <w:p w14:paraId="24D6DFB6">
      <w:pPr>
        <w:pStyle w:val="65"/>
        <w:spacing w:before="120" w:after="120"/>
        <w:rPr>
          <w:rFonts w:hint="eastAsia"/>
        </w:rPr>
      </w:pPr>
      <w:r>
        <w:rPr>
          <w:rFonts w:hint="eastAsia"/>
        </w:rPr>
        <w:t>支撑系统搭设</w:t>
      </w:r>
    </w:p>
    <w:p w14:paraId="5AEE02BF">
      <w:pPr>
        <w:pStyle w:val="56"/>
        <w:ind w:firstLine="420"/>
        <w:rPr>
          <w:rFonts w:hint="eastAsia"/>
        </w:rPr>
      </w:pPr>
      <w:r>
        <w:rPr>
          <w:rFonts w:hint="eastAsia"/>
        </w:rPr>
        <w:t>叠合楼板独立支撑间距应通过计算确定，首层支撑地基应夯实处理；支撑顶托标高允许偏差为±3 mm。</w:t>
      </w:r>
    </w:p>
    <w:p w14:paraId="77EC4B59">
      <w:pPr>
        <w:pStyle w:val="65"/>
        <w:spacing w:before="120" w:after="120"/>
        <w:rPr>
          <w:rFonts w:hint="eastAsia"/>
        </w:rPr>
      </w:pPr>
      <w:r>
        <w:rPr>
          <w:rFonts w:hint="eastAsia"/>
        </w:rPr>
        <w:t>吊装定位</w:t>
      </w:r>
    </w:p>
    <w:p w14:paraId="6EF1C834">
      <w:pPr>
        <w:pStyle w:val="56"/>
        <w:ind w:firstLine="420"/>
        <w:rPr>
          <w:rFonts w:hint="eastAsia"/>
        </w:rPr>
      </w:pPr>
      <w:r>
        <w:rPr>
          <w:rFonts w:hint="eastAsia"/>
        </w:rPr>
        <w:t>叠合梁吊装时应保证两端支座长度均衡，楼板就位后与墙体间隙宜控制在15 mm~20 mm。</w:t>
      </w:r>
    </w:p>
    <w:p w14:paraId="4C9A6D06">
      <w:pPr>
        <w:pStyle w:val="65"/>
        <w:spacing w:before="120" w:after="120"/>
        <w:rPr>
          <w:rFonts w:hint="eastAsia"/>
        </w:rPr>
      </w:pPr>
      <w:r>
        <w:rPr>
          <w:rFonts w:hint="eastAsia"/>
        </w:rPr>
        <w:t>节点连接</w:t>
      </w:r>
    </w:p>
    <w:p w14:paraId="74B7E150">
      <w:pPr>
        <w:pStyle w:val="56"/>
        <w:ind w:firstLine="420"/>
        <w:rPr>
          <w:rFonts w:hint="eastAsia"/>
        </w:rPr>
      </w:pPr>
      <w:r>
        <w:rPr>
          <w:rFonts w:hint="eastAsia"/>
        </w:rPr>
        <w:t>叠合层预留钢筋与相邻构件钢筋应绑扎牢固，阳台板等悬挑构件应设置临时抗倾覆措施。</w:t>
      </w:r>
    </w:p>
    <w:p w14:paraId="6B6F68E2">
      <w:pPr>
        <w:pStyle w:val="105"/>
        <w:spacing w:before="120" w:after="120"/>
        <w:rPr>
          <w:rFonts w:hint="eastAsia"/>
        </w:rPr>
      </w:pPr>
      <w:r>
        <w:rPr>
          <w:rFonts w:hint="eastAsia"/>
        </w:rPr>
        <w:t>特殊构件安装</w:t>
      </w:r>
    </w:p>
    <w:p w14:paraId="2C178569">
      <w:pPr>
        <w:pStyle w:val="165"/>
        <w:rPr>
          <w:rFonts w:hint="eastAsia"/>
        </w:rPr>
      </w:pPr>
      <w:r>
        <w:rPr>
          <w:rFonts w:hint="eastAsia"/>
        </w:rPr>
        <w:t>大型预制楼梯宜采用翻转吊具，就位后应及时焊接固定预埋件。</w:t>
      </w:r>
    </w:p>
    <w:p w14:paraId="1D65E8C9">
      <w:pPr>
        <w:pStyle w:val="165"/>
        <w:rPr>
          <w:rFonts w:hint="eastAsia"/>
        </w:rPr>
      </w:pPr>
      <w:r>
        <w:rPr>
          <w:rFonts w:hint="eastAsia"/>
        </w:rPr>
        <w:t>装饰一体化外墙板安装应同步校准装饰面平整度，接缝宽度宜保持一致。</w:t>
      </w:r>
    </w:p>
    <w:p w14:paraId="69A0201D">
      <w:pPr>
        <w:pStyle w:val="165"/>
        <w:rPr>
          <w:rFonts w:hint="eastAsia"/>
        </w:rPr>
      </w:pPr>
      <w:r>
        <w:rPr>
          <w:rFonts w:hint="eastAsia"/>
        </w:rPr>
        <w:t>曲面构件应使用三维空间定位仪辅助调校，临时支撑点不应少于4处。</w:t>
      </w:r>
    </w:p>
    <w:p w14:paraId="067B2364">
      <w:pPr>
        <w:pStyle w:val="105"/>
        <w:spacing w:before="120" w:after="120"/>
        <w:rPr>
          <w:rFonts w:hint="eastAsia"/>
        </w:rPr>
      </w:pPr>
      <w:r>
        <w:rPr>
          <w:rFonts w:hint="eastAsia"/>
        </w:rPr>
        <w:t>安装精度控制</w:t>
      </w:r>
    </w:p>
    <w:p w14:paraId="3D09774A">
      <w:pPr>
        <w:pStyle w:val="165"/>
        <w:rPr>
          <w:rFonts w:hint="eastAsia"/>
        </w:rPr>
      </w:pPr>
      <w:r>
        <w:rPr>
          <w:rFonts w:hint="eastAsia"/>
        </w:rPr>
        <w:t>每层构件安装后应进行整体复测，累积偏差应在上一楼层及时纠正。</w:t>
      </w:r>
    </w:p>
    <w:p w14:paraId="2F32220F">
      <w:pPr>
        <w:pStyle w:val="165"/>
        <w:rPr>
          <w:rFonts w:hint="eastAsia"/>
        </w:rPr>
      </w:pPr>
      <w:r>
        <w:rPr>
          <w:rFonts w:hint="eastAsia"/>
        </w:rPr>
        <w:t>关键控制点应执行三检制度：</w:t>
      </w:r>
    </w:p>
    <w:p w14:paraId="31515A90">
      <w:pPr>
        <w:pStyle w:val="132"/>
        <w:rPr>
          <w:rFonts w:hint="eastAsia"/>
        </w:rPr>
      </w:pPr>
      <w:r>
        <w:rPr>
          <w:rFonts w:hint="eastAsia"/>
        </w:rPr>
        <w:t>班组自检：记录初调数据；</w:t>
      </w:r>
    </w:p>
    <w:p w14:paraId="190C1A3C">
      <w:pPr>
        <w:pStyle w:val="132"/>
        <w:rPr>
          <w:rFonts w:hint="eastAsia"/>
        </w:rPr>
      </w:pPr>
      <w:r>
        <w:rPr>
          <w:rFonts w:hint="eastAsia"/>
        </w:rPr>
        <w:t>施工员复检：核查定位精度；</w:t>
      </w:r>
    </w:p>
    <w:p w14:paraId="00573410">
      <w:pPr>
        <w:pStyle w:val="132"/>
        <w:rPr>
          <w:rFonts w:hint="eastAsia"/>
        </w:rPr>
      </w:pPr>
      <w:r>
        <w:rPr>
          <w:rFonts w:hint="eastAsia"/>
        </w:rPr>
        <w:t>质检员终检：形成验收记录。</w:t>
      </w:r>
    </w:p>
    <w:p w14:paraId="2C74E922">
      <w:pPr>
        <w:pStyle w:val="165"/>
        <w:rPr>
          <w:rFonts w:hint="eastAsia"/>
        </w:rPr>
      </w:pPr>
      <w:r>
        <w:rPr>
          <w:rFonts w:hint="eastAsia"/>
        </w:rPr>
        <w:t>宜采用信息化系统实时上传测量数据，生成三维精度分析报告。</w:t>
      </w:r>
    </w:p>
    <w:p w14:paraId="28E7D7C6">
      <w:pPr>
        <w:pStyle w:val="105"/>
        <w:spacing w:before="120" w:after="120"/>
        <w:rPr>
          <w:rFonts w:hint="eastAsia"/>
        </w:rPr>
      </w:pPr>
      <w:r>
        <w:rPr>
          <w:rFonts w:hint="eastAsia"/>
        </w:rPr>
        <w:t>成品保护</w:t>
      </w:r>
    </w:p>
    <w:p w14:paraId="614D9EAB">
      <w:pPr>
        <w:pStyle w:val="165"/>
        <w:rPr>
          <w:rFonts w:hint="eastAsia"/>
        </w:rPr>
      </w:pPr>
      <w:r>
        <w:rPr>
          <w:rFonts w:hint="eastAsia"/>
        </w:rPr>
        <w:t>构件外露钢筋应涂刷防锈涂层，灌浆套筒孔道应采取临时封堵措施。</w:t>
      </w:r>
    </w:p>
    <w:p w14:paraId="79CCFADB">
      <w:pPr>
        <w:pStyle w:val="165"/>
        <w:rPr>
          <w:rFonts w:hint="eastAsia"/>
        </w:rPr>
      </w:pPr>
      <w:r>
        <w:rPr>
          <w:rFonts w:hint="eastAsia"/>
        </w:rPr>
        <w:t>混凝土棱角宜加装护角条，通道口等易碰撞部位应设置隔离围挡。</w:t>
      </w:r>
    </w:p>
    <w:p w14:paraId="445181D8">
      <w:pPr>
        <w:pStyle w:val="105"/>
        <w:spacing w:before="120" w:after="120"/>
        <w:rPr>
          <w:rFonts w:hint="eastAsia"/>
        </w:rPr>
      </w:pPr>
      <w:r>
        <w:rPr>
          <w:rFonts w:hint="eastAsia"/>
        </w:rPr>
        <w:t>过程记录</w:t>
      </w:r>
    </w:p>
    <w:p w14:paraId="05EF2413">
      <w:pPr>
        <w:pStyle w:val="165"/>
        <w:rPr>
          <w:rFonts w:hint="eastAsia"/>
        </w:rPr>
      </w:pPr>
      <w:r>
        <w:rPr>
          <w:rFonts w:hint="eastAsia"/>
        </w:rPr>
        <w:t>每件构件安装应留存影像资料，记录吊装时间、操作人员及验收状态。</w:t>
      </w:r>
    </w:p>
    <w:p w14:paraId="6D16349B">
      <w:pPr>
        <w:pStyle w:val="165"/>
      </w:pPr>
      <w:r>
        <w:rPr>
          <w:rFonts w:hint="eastAsia"/>
        </w:rPr>
        <w:t>安装偏差检测数据应及时录入项目管理平台，实现质量可追溯。</w:t>
      </w:r>
    </w:p>
    <w:p w14:paraId="08310058">
      <w:pPr>
        <w:pStyle w:val="104"/>
        <w:spacing w:before="240" w:after="240"/>
        <w:rPr>
          <w:rFonts w:hint="eastAsia"/>
        </w:rPr>
      </w:pPr>
      <w:bookmarkStart w:id="45" w:name="_Toc204603867"/>
      <w:r>
        <w:rPr>
          <w:rFonts w:hint="eastAsia"/>
        </w:rPr>
        <w:t>节点施工</w:t>
      </w:r>
      <w:bookmarkEnd w:id="45"/>
    </w:p>
    <w:p w14:paraId="5AE6F02E">
      <w:pPr>
        <w:pStyle w:val="105"/>
        <w:spacing w:before="120" w:after="120"/>
        <w:rPr>
          <w:rFonts w:hint="eastAsia"/>
        </w:rPr>
      </w:pPr>
      <w:r>
        <w:rPr>
          <w:rFonts w:hint="eastAsia"/>
        </w:rPr>
        <w:t>一般要求</w:t>
      </w:r>
    </w:p>
    <w:p w14:paraId="68990819">
      <w:pPr>
        <w:pStyle w:val="165"/>
        <w:rPr>
          <w:rFonts w:hint="eastAsia"/>
        </w:rPr>
      </w:pPr>
      <w:r>
        <w:rPr>
          <w:rFonts w:hint="eastAsia"/>
        </w:rPr>
        <w:t>节点施工应在前序构件安装精度验收合格后进行，隐蔽工程应留存影像记录。</w:t>
      </w:r>
    </w:p>
    <w:p w14:paraId="51D89CCB">
      <w:pPr>
        <w:pStyle w:val="165"/>
        <w:rPr>
          <w:rFonts w:hint="eastAsia"/>
        </w:rPr>
      </w:pPr>
      <w:r>
        <w:rPr>
          <w:rFonts w:hint="eastAsia"/>
        </w:rPr>
        <w:t>关键节点应制作工艺样板，经各方确认后实施大面积作业。</w:t>
      </w:r>
    </w:p>
    <w:p w14:paraId="7E03FF4B">
      <w:pPr>
        <w:pStyle w:val="165"/>
        <w:rPr>
          <w:rFonts w:hint="eastAsia"/>
        </w:rPr>
      </w:pPr>
      <w:r>
        <w:rPr>
          <w:rFonts w:hint="eastAsia"/>
        </w:rPr>
        <w:t>环境温度低于5 ℃或高于35 ℃时，应采取专项技术措施保障施工质量。</w:t>
      </w:r>
    </w:p>
    <w:p w14:paraId="3188ABB7">
      <w:pPr>
        <w:pStyle w:val="105"/>
        <w:spacing w:before="120" w:after="120"/>
        <w:rPr>
          <w:rFonts w:hint="eastAsia"/>
        </w:rPr>
      </w:pPr>
      <w:r>
        <w:rPr>
          <w:rFonts w:hint="eastAsia"/>
        </w:rPr>
        <w:t>灌浆套筒连接</w:t>
      </w:r>
    </w:p>
    <w:p w14:paraId="63305894">
      <w:pPr>
        <w:pStyle w:val="65"/>
        <w:spacing w:before="120" w:after="120"/>
        <w:rPr>
          <w:rFonts w:hint="eastAsia"/>
        </w:rPr>
      </w:pPr>
      <w:r>
        <w:rPr>
          <w:rFonts w:hint="eastAsia"/>
        </w:rPr>
        <w:t>材料与机具</w:t>
      </w:r>
    </w:p>
    <w:p w14:paraId="50C32272">
      <w:pPr>
        <w:pStyle w:val="164"/>
        <w:rPr>
          <w:rFonts w:hint="eastAsia"/>
        </w:rPr>
      </w:pPr>
      <w:r>
        <w:rPr>
          <w:rFonts w:hint="eastAsia"/>
        </w:rPr>
        <w:t>应选用符合国家标准的专用灌浆料，进场时复验流动度、强度和膨胀率。</w:t>
      </w:r>
    </w:p>
    <w:p w14:paraId="690D52D7">
      <w:pPr>
        <w:pStyle w:val="164"/>
        <w:rPr>
          <w:rFonts w:hint="eastAsia"/>
        </w:rPr>
      </w:pPr>
      <w:r>
        <w:rPr>
          <w:rFonts w:hint="eastAsia"/>
        </w:rPr>
        <w:t>电动灌浆泵压力范围宜为0.5 MPa~1.0 MPa，并配备专用灌浆枪及测堵工具。</w:t>
      </w:r>
    </w:p>
    <w:p w14:paraId="3F3003BB">
      <w:pPr>
        <w:pStyle w:val="65"/>
        <w:spacing w:before="120" w:after="120"/>
        <w:rPr>
          <w:rFonts w:hint="eastAsia"/>
        </w:rPr>
      </w:pPr>
      <w:r>
        <w:rPr>
          <w:rFonts w:hint="eastAsia"/>
        </w:rPr>
        <w:t>孔道封堵</w:t>
      </w:r>
    </w:p>
    <w:p w14:paraId="300BFFEA">
      <w:pPr>
        <w:pStyle w:val="164"/>
        <w:rPr>
          <w:rFonts w:hint="eastAsia"/>
        </w:rPr>
      </w:pPr>
      <w:r>
        <w:rPr>
          <w:rFonts w:hint="eastAsia"/>
        </w:rPr>
        <w:t>构件拼缝处应采用坐浆料或密封条封缝，24 h内不应扰动。</w:t>
      </w:r>
    </w:p>
    <w:p w14:paraId="57658BD3">
      <w:pPr>
        <w:pStyle w:val="164"/>
        <w:rPr>
          <w:rFonts w:hint="eastAsia"/>
        </w:rPr>
      </w:pPr>
      <w:r>
        <w:rPr>
          <w:rFonts w:hint="eastAsia"/>
        </w:rPr>
        <w:t>灌浆孔、出浆孔应清理杂物并保持畅通。</w:t>
      </w:r>
    </w:p>
    <w:p w14:paraId="6DB1F2FE">
      <w:pPr>
        <w:pStyle w:val="65"/>
        <w:spacing w:before="120" w:after="120"/>
        <w:rPr>
          <w:rFonts w:hint="eastAsia"/>
        </w:rPr>
      </w:pPr>
      <w:r>
        <w:rPr>
          <w:rFonts w:hint="eastAsia"/>
        </w:rPr>
        <w:t>灌浆作业</w:t>
      </w:r>
    </w:p>
    <w:p w14:paraId="5EC3F634">
      <w:pPr>
        <w:pStyle w:val="164"/>
        <w:rPr>
          <w:rFonts w:hint="eastAsia"/>
        </w:rPr>
      </w:pPr>
      <w:r>
        <w:rPr>
          <w:rFonts w:hint="eastAsia"/>
        </w:rPr>
        <w:t>浆料水胶比应严格按说明书控制，搅拌时间不宜少于3 min。</w:t>
      </w:r>
    </w:p>
    <w:p w14:paraId="1EC91384">
      <w:pPr>
        <w:pStyle w:val="164"/>
        <w:rPr>
          <w:rFonts w:hint="eastAsia"/>
        </w:rPr>
      </w:pPr>
      <w:r>
        <w:rPr>
          <w:rFonts w:hint="eastAsia"/>
        </w:rPr>
        <w:t>灌浆应从最低处孔洞注入，待高位出浆孔连续流出浆体后逐个封堵。</w:t>
      </w:r>
    </w:p>
    <w:p w14:paraId="22FE74A3">
      <w:pPr>
        <w:pStyle w:val="164"/>
        <w:rPr>
          <w:rFonts w:hint="eastAsia"/>
        </w:rPr>
      </w:pPr>
      <w:r>
        <w:rPr>
          <w:rFonts w:hint="eastAsia"/>
        </w:rPr>
        <w:t>竖向构件灌浆应自下而上单孔连续作业，中断时间不宜超过20 min。</w:t>
      </w:r>
    </w:p>
    <w:p w14:paraId="16CD6836">
      <w:pPr>
        <w:pStyle w:val="65"/>
        <w:spacing w:before="120" w:after="120"/>
        <w:rPr>
          <w:rFonts w:hint="eastAsia"/>
        </w:rPr>
      </w:pPr>
      <w:r>
        <w:rPr>
          <w:rFonts w:hint="eastAsia"/>
        </w:rPr>
        <w:t>过程控制</w:t>
      </w:r>
    </w:p>
    <w:p w14:paraId="61238EAC">
      <w:pPr>
        <w:pStyle w:val="164"/>
        <w:rPr>
          <w:rFonts w:hint="eastAsia"/>
        </w:rPr>
      </w:pPr>
      <w:r>
        <w:rPr>
          <w:rFonts w:hint="eastAsia"/>
        </w:rPr>
        <w:t>灌浆料初始流动度不应小于300 mm，30 min保留值不应小于260 mm。</w:t>
      </w:r>
    </w:p>
    <w:p w14:paraId="2C253906">
      <w:pPr>
        <w:pStyle w:val="164"/>
        <w:rPr>
          <w:rFonts w:hint="eastAsia"/>
        </w:rPr>
      </w:pPr>
      <w:r>
        <w:rPr>
          <w:rFonts w:hint="eastAsia"/>
        </w:rPr>
        <w:t>灌浆完成后24 h内构件不应受到振动或荷载作用。</w:t>
      </w:r>
    </w:p>
    <w:p w14:paraId="2B095B2C">
      <w:pPr>
        <w:pStyle w:val="65"/>
        <w:spacing w:before="120" w:after="120"/>
        <w:rPr>
          <w:rFonts w:hint="eastAsia"/>
        </w:rPr>
      </w:pPr>
      <w:r>
        <w:rPr>
          <w:rFonts w:hint="eastAsia"/>
        </w:rPr>
        <w:t>养护与检验</w:t>
      </w:r>
    </w:p>
    <w:p w14:paraId="20FB5F1C">
      <w:pPr>
        <w:pStyle w:val="164"/>
        <w:rPr>
          <w:rFonts w:hint="eastAsia"/>
        </w:rPr>
      </w:pPr>
      <w:r>
        <w:rPr>
          <w:rFonts w:hint="eastAsia"/>
        </w:rPr>
        <w:t>环境温度高于30 ℃时，灌浆部位应覆盖湿麻袋养护。</w:t>
      </w:r>
    </w:p>
    <w:p w14:paraId="667C6A85">
      <w:pPr>
        <w:pStyle w:val="164"/>
        <w:rPr>
          <w:rFonts w:hint="eastAsia"/>
        </w:rPr>
      </w:pPr>
      <w:r>
        <w:rPr>
          <w:rFonts w:hint="eastAsia"/>
        </w:rPr>
        <w:t>每工作班应制作不少于3组试件检验28d强度。</w:t>
      </w:r>
    </w:p>
    <w:p w14:paraId="4E0F56BE">
      <w:pPr>
        <w:pStyle w:val="164"/>
        <w:rPr>
          <w:rFonts w:hint="eastAsia"/>
        </w:rPr>
      </w:pPr>
      <w:r>
        <w:rPr>
          <w:rFonts w:hint="eastAsia"/>
        </w:rPr>
        <w:t>可采用内窥镜或超声波抽查套筒内灌浆饱满度。</w:t>
      </w:r>
    </w:p>
    <w:p w14:paraId="63A2CBE9">
      <w:pPr>
        <w:pStyle w:val="105"/>
        <w:spacing w:before="120" w:after="120"/>
        <w:rPr>
          <w:rFonts w:hint="eastAsia"/>
        </w:rPr>
      </w:pPr>
      <w:r>
        <w:rPr>
          <w:rFonts w:hint="eastAsia"/>
        </w:rPr>
        <w:t>后浇混凝土节点</w:t>
      </w:r>
    </w:p>
    <w:p w14:paraId="77759071">
      <w:pPr>
        <w:pStyle w:val="65"/>
        <w:spacing w:before="120" w:after="120"/>
        <w:rPr>
          <w:rFonts w:hint="eastAsia"/>
        </w:rPr>
      </w:pPr>
      <w:r>
        <w:rPr>
          <w:rFonts w:hint="eastAsia"/>
        </w:rPr>
        <w:t>界面处理</w:t>
      </w:r>
    </w:p>
    <w:p w14:paraId="74334758">
      <w:pPr>
        <w:pStyle w:val="164"/>
        <w:rPr>
          <w:rFonts w:hint="eastAsia"/>
        </w:rPr>
      </w:pPr>
      <w:r>
        <w:rPr>
          <w:rFonts w:hint="eastAsia"/>
        </w:rPr>
        <w:t>构件结合面应凿毛处理，露骨料面积不应小于80%。</w:t>
      </w:r>
    </w:p>
    <w:p w14:paraId="6E44E464">
      <w:pPr>
        <w:pStyle w:val="164"/>
        <w:rPr>
          <w:rFonts w:hint="eastAsia"/>
        </w:rPr>
      </w:pPr>
      <w:r>
        <w:rPr>
          <w:rFonts w:hint="eastAsia"/>
        </w:rPr>
        <w:t>浇筑前应清除浮灰并喷水湿润，但不应有明水积存。</w:t>
      </w:r>
    </w:p>
    <w:p w14:paraId="63FAC00B">
      <w:pPr>
        <w:pStyle w:val="65"/>
        <w:spacing w:before="120" w:after="120"/>
        <w:rPr>
          <w:rFonts w:hint="eastAsia"/>
        </w:rPr>
      </w:pPr>
      <w:r>
        <w:rPr>
          <w:rFonts w:hint="eastAsia"/>
        </w:rPr>
        <w:t>钢筋绑扎</w:t>
      </w:r>
    </w:p>
    <w:p w14:paraId="25A65F9B">
      <w:pPr>
        <w:pStyle w:val="164"/>
        <w:rPr>
          <w:rFonts w:hint="eastAsia"/>
        </w:rPr>
      </w:pPr>
      <w:r>
        <w:rPr>
          <w:rFonts w:hint="eastAsia"/>
        </w:rPr>
        <w:t>后浇区预留钢筋与预制构件钢筋应采用机械连接或焊接。</w:t>
      </w:r>
    </w:p>
    <w:p w14:paraId="7AAE8F94">
      <w:pPr>
        <w:pStyle w:val="164"/>
        <w:rPr>
          <w:rFonts w:hint="eastAsia"/>
        </w:rPr>
      </w:pPr>
      <w:r>
        <w:rPr>
          <w:rFonts w:hint="eastAsia"/>
        </w:rPr>
        <w:t>钢筋定位偏差不应大于5 mm，保护层厚度宜增加2 mm。</w:t>
      </w:r>
    </w:p>
    <w:p w14:paraId="15C70B8B">
      <w:pPr>
        <w:pStyle w:val="65"/>
        <w:spacing w:before="120" w:after="120"/>
        <w:rPr>
          <w:rFonts w:hint="eastAsia"/>
        </w:rPr>
      </w:pPr>
      <w:r>
        <w:rPr>
          <w:rFonts w:hint="eastAsia"/>
        </w:rPr>
        <w:t>混凝土浇筑</w:t>
      </w:r>
    </w:p>
    <w:p w14:paraId="101280D5">
      <w:pPr>
        <w:pStyle w:val="164"/>
        <w:rPr>
          <w:rFonts w:hint="eastAsia"/>
        </w:rPr>
      </w:pPr>
      <w:r>
        <w:rPr>
          <w:rFonts w:hint="eastAsia"/>
        </w:rPr>
        <w:t>宜采用自密实混凝土或微膨胀混凝土，粗骨料粒径不应大于20 mm。</w:t>
      </w:r>
    </w:p>
    <w:p w14:paraId="30E51ABC">
      <w:pPr>
        <w:pStyle w:val="164"/>
        <w:rPr>
          <w:rFonts w:hint="eastAsia"/>
        </w:rPr>
      </w:pPr>
      <w:r>
        <w:rPr>
          <w:rFonts w:hint="eastAsia"/>
        </w:rPr>
        <w:t>分层浇筑厚度不宜超过500 mm，振捣应避开预埋管线。</w:t>
      </w:r>
    </w:p>
    <w:p w14:paraId="603F7057">
      <w:pPr>
        <w:pStyle w:val="164"/>
        <w:rPr>
          <w:rFonts w:hint="eastAsia"/>
        </w:rPr>
      </w:pPr>
      <w:r>
        <w:rPr>
          <w:rFonts w:hint="eastAsia"/>
        </w:rPr>
        <w:t>梁柱节点核心区应先行浇筑，强度等级宜提高一级。</w:t>
      </w:r>
    </w:p>
    <w:p w14:paraId="7CC5B5D5">
      <w:pPr>
        <w:pStyle w:val="65"/>
        <w:spacing w:before="120" w:after="120"/>
        <w:rPr>
          <w:rFonts w:hint="eastAsia"/>
        </w:rPr>
      </w:pPr>
      <w:r>
        <w:rPr>
          <w:rFonts w:hint="eastAsia"/>
        </w:rPr>
        <w:t>养护措施</w:t>
      </w:r>
    </w:p>
    <w:p w14:paraId="47DDB2BA">
      <w:pPr>
        <w:pStyle w:val="164"/>
        <w:rPr>
          <w:rFonts w:hint="eastAsia"/>
        </w:rPr>
      </w:pPr>
      <w:r>
        <w:rPr>
          <w:rFonts w:hint="eastAsia"/>
        </w:rPr>
        <w:t>终凝后应立即覆盖塑料薄膜保水养护，时间不应少于14d。</w:t>
      </w:r>
    </w:p>
    <w:p w14:paraId="1F1E5746">
      <w:pPr>
        <w:pStyle w:val="164"/>
        <w:rPr>
          <w:rFonts w:hint="eastAsia"/>
        </w:rPr>
      </w:pPr>
      <w:r>
        <w:rPr>
          <w:rFonts w:hint="eastAsia"/>
        </w:rPr>
        <w:t>冬季施工应采取加热养护，升温速率不宜大于10 ℃/h。</w:t>
      </w:r>
    </w:p>
    <w:p w14:paraId="23DD1D08">
      <w:pPr>
        <w:pStyle w:val="105"/>
        <w:spacing w:before="120" w:after="120"/>
        <w:rPr>
          <w:rFonts w:hint="eastAsia"/>
        </w:rPr>
      </w:pPr>
      <w:r>
        <w:rPr>
          <w:rFonts w:hint="eastAsia"/>
        </w:rPr>
        <w:t>接缝密封防水</w:t>
      </w:r>
    </w:p>
    <w:p w14:paraId="74AF73CD">
      <w:pPr>
        <w:pStyle w:val="65"/>
        <w:spacing w:before="120" w:after="120"/>
        <w:rPr>
          <w:rFonts w:hint="eastAsia"/>
        </w:rPr>
      </w:pPr>
      <w:r>
        <w:rPr>
          <w:rFonts w:hint="eastAsia"/>
        </w:rPr>
        <w:t>基层清理</w:t>
      </w:r>
    </w:p>
    <w:p w14:paraId="09FA6CA6">
      <w:pPr>
        <w:pStyle w:val="56"/>
        <w:ind w:firstLine="420"/>
        <w:rPr>
          <w:rFonts w:hint="eastAsia"/>
        </w:rPr>
      </w:pPr>
      <w:r>
        <w:rPr>
          <w:rFonts w:hint="eastAsia"/>
        </w:rPr>
        <w:t>密封施工前应用压缩空气吹净缝内灰尘，油污处应采用溶剂擦拭。</w:t>
      </w:r>
    </w:p>
    <w:p w14:paraId="6726C271">
      <w:pPr>
        <w:pStyle w:val="65"/>
        <w:spacing w:before="120" w:after="120"/>
        <w:rPr>
          <w:rFonts w:hint="eastAsia"/>
        </w:rPr>
      </w:pPr>
      <w:r>
        <w:rPr>
          <w:rFonts w:hint="eastAsia"/>
        </w:rPr>
        <w:t>背衬填充</w:t>
      </w:r>
    </w:p>
    <w:p w14:paraId="54FE5459">
      <w:pPr>
        <w:pStyle w:val="164"/>
        <w:rPr>
          <w:rFonts w:hint="eastAsia"/>
        </w:rPr>
      </w:pPr>
      <w:r>
        <w:rPr>
          <w:rFonts w:hint="eastAsia"/>
        </w:rPr>
        <w:t>缝深超过30 mm时，应设置闭孔泡沫塑料背衬条。</w:t>
      </w:r>
    </w:p>
    <w:p w14:paraId="3BF6B85E">
      <w:pPr>
        <w:pStyle w:val="164"/>
        <w:rPr>
          <w:rFonts w:hint="eastAsia"/>
        </w:rPr>
      </w:pPr>
      <w:r>
        <w:rPr>
          <w:rFonts w:hint="eastAsia"/>
        </w:rPr>
        <w:t>背衬条直径宜为缝宽的1.2~1.5倍，压实后距表面5 mm~8 mm。</w:t>
      </w:r>
    </w:p>
    <w:p w14:paraId="030BC66B">
      <w:pPr>
        <w:pStyle w:val="65"/>
        <w:spacing w:before="120" w:after="120"/>
        <w:rPr>
          <w:rFonts w:hint="eastAsia"/>
        </w:rPr>
      </w:pPr>
      <w:r>
        <w:rPr>
          <w:rFonts w:hint="eastAsia"/>
        </w:rPr>
        <w:t>密封胶施工</w:t>
      </w:r>
    </w:p>
    <w:p w14:paraId="75C7A94B">
      <w:pPr>
        <w:pStyle w:val="164"/>
        <w:rPr>
          <w:rFonts w:hint="eastAsia"/>
        </w:rPr>
      </w:pPr>
      <w:r>
        <w:rPr>
          <w:rFonts w:hint="eastAsia"/>
        </w:rPr>
        <w:t>应选用硅酮或聚氨酯类耐候密封胶，与混凝土粘结性试验合格。</w:t>
      </w:r>
    </w:p>
    <w:p w14:paraId="07B6ABD2">
      <w:pPr>
        <w:pStyle w:val="164"/>
        <w:rPr>
          <w:rFonts w:hint="eastAsia"/>
        </w:rPr>
      </w:pPr>
      <w:r>
        <w:rPr>
          <w:rFonts w:hint="eastAsia"/>
        </w:rPr>
        <w:t>注胶应连续均匀，填充饱满度不应低于90%。</w:t>
      </w:r>
    </w:p>
    <w:p w14:paraId="05EA4E5D">
      <w:pPr>
        <w:pStyle w:val="164"/>
        <w:rPr>
          <w:rFonts w:hint="eastAsia"/>
        </w:rPr>
      </w:pPr>
      <w:r>
        <w:rPr>
          <w:rFonts w:hint="eastAsia"/>
        </w:rPr>
        <w:t>胶缝表面宜修整为凹弧形，养护期内避免淋雨。</w:t>
      </w:r>
    </w:p>
    <w:p w14:paraId="08CD0CAC">
      <w:pPr>
        <w:pStyle w:val="65"/>
        <w:spacing w:before="120" w:after="120"/>
        <w:rPr>
          <w:rFonts w:hint="eastAsia"/>
        </w:rPr>
      </w:pPr>
      <w:r>
        <w:rPr>
          <w:rFonts w:hint="eastAsia"/>
        </w:rPr>
        <w:t>附加防水层</w:t>
      </w:r>
    </w:p>
    <w:p w14:paraId="3D6BCF84">
      <w:pPr>
        <w:pStyle w:val="56"/>
        <w:ind w:firstLine="420"/>
        <w:rPr>
          <w:rFonts w:hint="eastAsia"/>
        </w:rPr>
      </w:pPr>
      <w:r>
        <w:rPr>
          <w:rFonts w:hint="eastAsia"/>
        </w:rPr>
        <w:t>外墙水平缝宜增设聚合物水泥防水涂料，涂刷宽度不应小于150mm。</w:t>
      </w:r>
    </w:p>
    <w:p w14:paraId="1158966E">
      <w:pPr>
        <w:pStyle w:val="105"/>
        <w:spacing w:before="120" w:after="120"/>
        <w:rPr>
          <w:rFonts w:hint="eastAsia"/>
        </w:rPr>
      </w:pPr>
      <w:r>
        <w:rPr>
          <w:rFonts w:hint="eastAsia"/>
        </w:rPr>
        <w:t>其他节点工艺</w:t>
      </w:r>
    </w:p>
    <w:p w14:paraId="0E8FA80C">
      <w:pPr>
        <w:pStyle w:val="65"/>
        <w:spacing w:before="120" w:after="120"/>
        <w:rPr>
          <w:rFonts w:hint="eastAsia"/>
        </w:rPr>
      </w:pPr>
      <w:r>
        <w:rPr>
          <w:rFonts w:hint="eastAsia"/>
        </w:rPr>
        <w:t>螺栓连接节点</w:t>
      </w:r>
    </w:p>
    <w:p w14:paraId="6A71A1AE">
      <w:pPr>
        <w:pStyle w:val="56"/>
        <w:ind w:firstLine="420"/>
        <w:rPr>
          <w:rFonts w:hint="eastAsia"/>
        </w:rPr>
      </w:pPr>
      <w:r>
        <w:rPr>
          <w:rFonts w:hint="eastAsia"/>
        </w:rPr>
        <w:t>高强螺栓初拧扭矩应为终拧值的50%，终拧应在24 h内完成，终拧后螺栓外露丝扣不应少于2扣。</w:t>
      </w:r>
    </w:p>
    <w:p w14:paraId="24549031">
      <w:pPr>
        <w:pStyle w:val="65"/>
        <w:spacing w:before="120" w:after="120"/>
        <w:rPr>
          <w:rFonts w:hint="eastAsia"/>
        </w:rPr>
      </w:pPr>
      <w:r>
        <w:rPr>
          <w:rFonts w:hint="eastAsia"/>
        </w:rPr>
        <w:t>预应力节点</w:t>
      </w:r>
    </w:p>
    <w:p w14:paraId="5B2C6491">
      <w:pPr>
        <w:pStyle w:val="56"/>
        <w:ind w:firstLine="420"/>
        <w:rPr>
          <w:rFonts w:hint="eastAsia"/>
        </w:rPr>
      </w:pPr>
      <w:r>
        <w:rPr>
          <w:rFonts w:hint="eastAsia"/>
        </w:rPr>
        <w:t>张拉顺序应符合设计规定，分级加载速率不宜大于0.15σcon/min。</w:t>
      </w:r>
    </w:p>
    <w:p w14:paraId="511AF46D">
      <w:pPr>
        <w:pStyle w:val="65"/>
        <w:spacing w:before="120" w:after="120"/>
        <w:rPr>
          <w:rFonts w:hint="eastAsia"/>
        </w:rPr>
      </w:pPr>
      <w:r>
        <w:rPr>
          <w:rFonts w:hint="eastAsia"/>
        </w:rPr>
        <w:t>钢结构混合节点</w:t>
      </w:r>
    </w:p>
    <w:p w14:paraId="121FED11">
      <w:pPr>
        <w:pStyle w:val="56"/>
        <w:ind w:firstLine="420"/>
        <w:rPr>
          <w:rFonts w:hint="eastAsia"/>
        </w:rPr>
      </w:pPr>
      <w:r>
        <w:rPr>
          <w:rFonts w:hint="eastAsia"/>
        </w:rPr>
        <w:t>构件焊接后应进行焊缝探伤，冷却至环境温度前不应受外力冲击。</w:t>
      </w:r>
    </w:p>
    <w:p w14:paraId="528CB66B">
      <w:pPr>
        <w:pStyle w:val="105"/>
        <w:spacing w:before="120" w:after="120"/>
        <w:rPr>
          <w:rFonts w:hint="eastAsia"/>
        </w:rPr>
      </w:pPr>
      <w:r>
        <w:rPr>
          <w:rFonts w:hint="eastAsia"/>
        </w:rPr>
        <w:t>质量验收</w:t>
      </w:r>
    </w:p>
    <w:p w14:paraId="7B3F0235">
      <w:pPr>
        <w:pStyle w:val="165"/>
        <w:rPr>
          <w:rFonts w:hint="eastAsia"/>
        </w:rPr>
      </w:pPr>
      <w:r>
        <w:rPr>
          <w:rFonts w:hint="eastAsia"/>
        </w:rPr>
        <w:t>灌浆套筒连接应按批次抽查灌浆密实度，重要结构部位应全数检测。</w:t>
      </w:r>
    </w:p>
    <w:p w14:paraId="3B449534">
      <w:pPr>
        <w:pStyle w:val="165"/>
        <w:rPr>
          <w:rFonts w:hint="eastAsia"/>
        </w:rPr>
      </w:pPr>
      <w:r>
        <w:rPr>
          <w:rFonts w:hint="eastAsia"/>
        </w:rPr>
        <w:t>后浇混凝土拆模后应检查表面裂缝，裂缝宽度大于0.2 mm应处理。</w:t>
      </w:r>
    </w:p>
    <w:p w14:paraId="07ED0A49">
      <w:pPr>
        <w:pStyle w:val="165"/>
      </w:pPr>
      <w:r>
        <w:rPr>
          <w:rFonts w:hint="eastAsia"/>
        </w:rPr>
        <w:t>密封胶与基层剥离强度不应小于0.5 MPa，淋水试验持续2 h无渗漏。</w:t>
      </w:r>
    </w:p>
    <w:p w14:paraId="77E99ACB">
      <w:pPr>
        <w:pStyle w:val="165"/>
      </w:pPr>
      <w:r>
        <w:rPr>
          <w:rFonts w:hint="eastAsia"/>
        </w:rPr>
        <w:t>质量验收应符合GB 50204、JGJ 1的有关规定。</w:t>
      </w:r>
    </w:p>
    <w:p w14:paraId="74724C03">
      <w:pPr>
        <w:pStyle w:val="104"/>
        <w:spacing w:before="240" w:after="240"/>
        <w:rPr>
          <w:rFonts w:hint="eastAsia"/>
        </w:rPr>
      </w:pPr>
      <w:bookmarkStart w:id="46" w:name="_Toc204603868"/>
      <w:r>
        <w:rPr>
          <w:rFonts w:hint="eastAsia"/>
        </w:rPr>
        <w:t>全质量管理</w:t>
      </w:r>
      <w:bookmarkEnd w:id="46"/>
    </w:p>
    <w:p w14:paraId="5FDB04F3">
      <w:pPr>
        <w:pStyle w:val="105"/>
        <w:spacing w:before="120" w:after="120"/>
        <w:rPr>
          <w:rFonts w:hint="eastAsia"/>
        </w:rPr>
      </w:pPr>
      <w:r>
        <w:rPr>
          <w:rFonts w:hint="eastAsia"/>
        </w:rPr>
        <w:t>安全管理体系</w:t>
      </w:r>
    </w:p>
    <w:p w14:paraId="7059D3D6">
      <w:pPr>
        <w:pStyle w:val="165"/>
        <w:rPr>
          <w:rFonts w:hint="eastAsia"/>
        </w:rPr>
      </w:pPr>
      <w:r>
        <w:rPr>
          <w:rFonts w:hint="eastAsia"/>
        </w:rPr>
        <w:t>施工单位应建立分级安全责任制，项目经理为第一责任人，专职安全员数量不应少于总人数的3‰。</w:t>
      </w:r>
    </w:p>
    <w:p w14:paraId="4120B8B8">
      <w:pPr>
        <w:pStyle w:val="165"/>
        <w:rPr>
          <w:rFonts w:hint="eastAsia"/>
        </w:rPr>
      </w:pPr>
      <w:r>
        <w:rPr>
          <w:rFonts w:hint="eastAsia"/>
        </w:rPr>
        <w:t>应编制专项应急预案，覆盖构件倾覆、高空坠落、机械伤害等重大风险，每季度组织实战演练。</w:t>
      </w:r>
    </w:p>
    <w:p w14:paraId="1F5B4DFA">
      <w:pPr>
        <w:pStyle w:val="165"/>
        <w:rPr>
          <w:rFonts w:hint="eastAsia"/>
        </w:rPr>
      </w:pPr>
      <w:r>
        <w:rPr>
          <w:rFonts w:hint="eastAsia"/>
        </w:rPr>
        <w:t>超限构件吊装、大型设备安拆等危险作业应实施审批许可制度。</w:t>
      </w:r>
    </w:p>
    <w:p w14:paraId="69DEF7B7">
      <w:pPr>
        <w:pStyle w:val="105"/>
        <w:spacing w:before="120" w:after="120"/>
        <w:rPr>
          <w:rFonts w:hint="eastAsia"/>
        </w:rPr>
      </w:pPr>
      <w:r>
        <w:rPr>
          <w:rFonts w:hint="eastAsia"/>
        </w:rPr>
        <w:t>吊装作业安全</w:t>
      </w:r>
    </w:p>
    <w:p w14:paraId="29D2242A">
      <w:pPr>
        <w:pStyle w:val="65"/>
        <w:spacing w:before="120" w:after="120"/>
        <w:rPr>
          <w:rFonts w:hint="eastAsia"/>
        </w:rPr>
      </w:pPr>
      <w:r>
        <w:rPr>
          <w:rFonts w:hint="eastAsia"/>
        </w:rPr>
        <w:t>人员管控</w:t>
      </w:r>
    </w:p>
    <w:p w14:paraId="7DC21C52">
      <w:pPr>
        <w:pStyle w:val="164"/>
        <w:rPr>
          <w:rFonts w:hint="eastAsia"/>
        </w:rPr>
      </w:pPr>
      <w:r>
        <w:rPr>
          <w:rFonts w:hint="eastAsia"/>
        </w:rPr>
        <w:t>吊装指挥人员应持特种作业证上岗，吊装区域设置硬质隔离。</w:t>
      </w:r>
    </w:p>
    <w:p w14:paraId="1AC5776B">
      <w:pPr>
        <w:pStyle w:val="164"/>
        <w:rPr>
          <w:rFonts w:hint="eastAsia"/>
        </w:rPr>
      </w:pPr>
      <w:r>
        <w:rPr>
          <w:rFonts w:hint="eastAsia"/>
        </w:rPr>
        <w:t>高空作业人员应佩戴双钩安全带，生命线固定点应独立于临时支撑。</w:t>
      </w:r>
    </w:p>
    <w:p w14:paraId="248300A4">
      <w:pPr>
        <w:pStyle w:val="65"/>
        <w:spacing w:before="120" w:after="120"/>
        <w:rPr>
          <w:rFonts w:hint="eastAsia"/>
        </w:rPr>
      </w:pPr>
      <w:r>
        <w:rPr>
          <w:rFonts w:hint="eastAsia"/>
        </w:rPr>
        <w:t>机具管理</w:t>
      </w:r>
    </w:p>
    <w:p w14:paraId="50BC52F7">
      <w:pPr>
        <w:pStyle w:val="164"/>
        <w:rPr>
          <w:rFonts w:hint="eastAsia"/>
        </w:rPr>
      </w:pPr>
      <w:r>
        <w:rPr>
          <w:rFonts w:hint="eastAsia"/>
        </w:rPr>
        <w:t>塔吊力矩限制器、吊钩保险装置应每日点检。</w:t>
      </w:r>
    </w:p>
    <w:p w14:paraId="63C7C131">
      <w:pPr>
        <w:pStyle w:val="164"/>
        <w:rPr>
          <w:rFonts w:hint="eastAsia"/>
        </w:rPr>
      </w:pPr>
      <w:r>
        <w:rPr>
          <w:rFonts w:hint="eastAsia"/>
        </w:rPr>
        <w:t>吊索具破断拉力安全系数不应小于6，断丝超标应立即更换。</w:t>
      </w:r>
    </w:p>
    <w:p w14:paraId="014B717C">
      <w:pPr>
        <w:pStyle w:val="65"/>
        <w:spacing w:before="120" w:after="120"/>
        <w:rPr>
          <w:rFonts w:hint="eastAsia"/>
        </w:rPr>
      </w:pPr>
      <w:r>
        <w:rPr>
          <w:rFonts w:hint="eastAsia"/>
        </w:rPr>
        <w:t>环境控制</w:t>
      </w:r>
    </w:p>
    <w:p w14:paraId="464D5F1D">
      <w:pPr>
        <w:pStyle w:val="56"/>
        <w:ind w:firstLine="420"/>
        <w:rPr>
          <w:rFonts w:hint="eastAsia"/>
        </w:rPr>
      </w:pPr>
      <w:r>
        <w:rPr>
          <w:rFonts w:hint="eastAsia"/>
        </w:rPr>
        <w:t>构件起吊前应监测风速，超过12 m/s时应中止作业。</w:t>
      </w:r>
    </w:p>
    <w:p w14:paraId="30DF9E8E">
      <w:pPr>
        <w:pStyle w:val="105"/>
        <w:spacing w:before="120" w:after="120"/>
        <w:rPr>
          <w:rFonts w:hint="eastAsia"/>
        </w:rPr>
      </w:pPr>
      <w:r>
        <w:rPr>
          <w:rFonts w:hint="eastAsia"/>
        </w:rPr>
        <w:t>节点施工质量</w:t>
      </w:r>
    </w:p>
    <w:p w14:paraId="0DD27D63">
      <w:pPr>
        <w:pStyle w:val="65"/>
        <w:spacing w:before="120" w:after="120"/>
        <w:rPr>
          <w:rFonts w:hint="eastAsia"/>
        </w:rPr>
      </w:pPr>
      <w:r>
        <w:rPr>
          <w:rFonts w:hint="eastAsia"/>
        </w:rPr>
        <w:t>灌浆质量保障</w:t>
      </w:r>
    </w:p>
    <w:p w14:paraId="1093ED1C">
      <w:pPr>
        <w:pStyle w:val="56"/>
        <w:ind w:firstLine="420"/>
        <w:rPr>
          <w:rFonts w:hint="eastAsia"/>
        </w:rPr>
      </w:pPr>
      <w:r>
        <w:rPr>
          <w:rFonts w:hint="eastAsia"/>
        </w:rPr>
        <w:t>灌浆操作人员应经专业培训，灌浆压力实时监测记录，套筒连接节点应全数留存灌浆过程视频影像。</w:t>
      </w:r>
    </w:p>
    <w:p w14:paraId="15FC0D90">
      <w:pPr>
        <w:pStyle w:val="65"/>
        <w:spacing w:before="120" w:after="120"/>
        <w:rPr>
          <w:rFonts w:hint="eastAsia"/>
        </w:rPr>
      </w:pPr>
      <w:r>
        <w:rPr>
          <w:rFonts w:hint="eastAsia"/>
        </w:rPr>
        <w:t>后浇区控制</w:t>
      </w:r>
    </w:p>
    <w:p w14:paraId="18465B74">
      <w:pPr>
        <w:pStyle w:val="56"/>
        <w:ind w:firstLine="420"/>
        <w:rPr>
          <w:rFonts w:hint="eastAsia"/>
        </w:rPr>
      </w:pPr>
      <w:r>
        <w:rPr>
          <w:rFonts w:hint="eastAsia"/>
        </w:rPr>
        <w:t>核心区混凝土浇筑应使用塌落度检测仪动态监控流动性，拆模强度应通过同条件试块判定，不宜低于设计强度75%。</w:t>
      </w:r>
    </w:p>
    <w:p w14:paraId="5E2F3D31">
      <w:pPr>
        <w:pStyle w:val="65"/>
        <w:spacing w:before="120" w:after="120"/>
        <w:rPr>
          <w:rFonts w:hint="eastAsia"/>
        </w:rPr>
      </w:pPr>
      <w:r>
        <w:rPr>
          <w:rFonts w:hint="eastAsia"/>
        </w:rPr>
        <w:t>密封防渗漏</w:t>
      </w:r>
    </w:p>
    <w:p w14:paraId="554B7427">
      <w:pPr>
        <w:pStyle w:val="56"/>
        <w:ind w:firstLine="420"/>
        <w:rPr>
          <w:rFonts w:hint="eastAsia"/>
        </w:rPr>
      </w:pPr>
      <w:r>
        <w:rPr>
          <w:rFonts w:hint="eastAsia"/>
        </w:rPr>
        <w:t>外墙接缝淋水试验应按每三层抽检，单次淋水持续时间不应少于2 h。</w:t>
      </w:r>
    </w:p>
    <w:p w14:paraId="70EC3379">
      <w:pPr>
        <w:pStyle w:val="105"/>
        <w:spacing w:before="120" w:after="120"/>
        <w:rPr>
          <w:rFonts w:hint="eastAsia"/>
        </w:rPr>
      </w:pPr>
      <w:r>
        <w:rPr>
          <w:rFonts w:hint="eastAsia"/>
        </w:rPr>
        <w:t>成品质量控制</w:t>
      </w:r>
    </w:p>
    <w:p w14:paraId="307F98E7">
      <w:pPr>
        <w:pStyle w:val="65"/>
        <w:spacing w:before="120" w:after="120"/>
        <w:rPr>
          <w:rFonts w:hint="eastAsia"/>
        </w:rPr>
      </w:pPr>
      <w:r>
        <w:rPr>
          <w:rFonts w:hint="eastAsia"/>
        </w:rPr>
        <w:t>尺寸偏差管理</w:t>
      </w:r>
    </w:p>
    <w:p w14:paraId="32E0A089">
      <w:pPr>
        <w:pStyle w:val="56"/>
        <w:ind w:firstLine="420"/>
        <w:rPr>
          <w:rFonts w:hint="eastAsia"/>
        </w:rPr>
      </w:pPr>
      <w:r>
        <w:rPr>
          <w:rFonts w:hint="eastAsia"/>
        </w:rPr>
        <w:t>每层结构完成后应进行三维扫描复核，累积偏差超过允许值50%时启动纠偏程序，装饰面砖预制外墙板表面平整度偏差不应大于3 mm。</w:t>
      </w:r>
    </w:p>
    <w:p w14:paraId="6E7B692E">
      <w:pPr>
        <w:pStyle w:val="65"/>
        <w:spacing w:before="120" w:after="120"/>
        <w:rPr>
          <w:rFonts w:hint="eastAsia"/>
        </w:rPr>
      </w:pPr>
      <w:r>
        <w:rPr>
          <w:rFonts w:hint="eastAsia"/>
        </w:rPr>
        <w:t>缺陷修复</w:t>
      </w:r>
    </w:p>
    <w:p w14:paraId="1536A401">
      <w:pPr>
        <w:pStyle w:val="56"/>
        <w:ind w:firstLine="420"/>
        <w:rPr>
          <w:rFonts w:hint="eastAsia"/>
        </w:rPr>
      </w:pPr>
      <w:r>
        <w:rPr>
          <w:rFonts w:hint="eastAsia"/>
        </w:rPr>
        <w:t>混凝土裂缝宽度大于0.1 mm时应采用环氧树脂注浆修补，钢筋锈蚀面积超过5%应进行阻锈处理。</w:t>
      </w:r>
    </w:p>
    <w:p w14:paraId="34FCA0C4">
      <w:pPr>
        <w:pStyle w:val="105"/>
        <w:spacing w:before="120" w:after="120"/>
        <w:rPr>
          <w:rFonts w:hint="eastAsia"/>
        </w:rPr>
      </w:pPr>
      <w:r>
        <w:rPr>
          <w:rFonts w:hint="eastAsia"/>
        </w:rPr>
        <w:t>过程监测与验收</w:t>
      </w:r>
    </w:p>
    <w:p w14:paraId="5AB04F00">
      <w:pPr>
        <w:pStyle w:val="165"/>
        <w:rPr>
          <w:rFonts w:hint="eastAsia"/>
        </w:rPr>
      </w:pPr>
      <w:r>
        <w:rPr>
          <w:rFonts w:hint="eastAsia"/>
        </w:rPr>
        <w:t>应实施质量追溯管理：</w:t>
      </w:r>
    </w:p>
    <w:p w14:paraId="38D39E00">
      <w:pPr>
        <w:pStyle w:val="132"/>
        <w:rPr>
          <w:rFonts w:hint="eastAsia"/>
        </w:rPr>
      </w:pPr>
      <w:r>
        <w:rPr>
          <w:rFonts w:hint="eastAsia"/>
        </w:rPr>
        <w:t>预制构件二维码信息应关联材料批次、工艺参数；</w:t>
      </w:r>
    </w:p>
    <w:p w14:paraId="2961282A">
      <w:pPr>
        <w:pStyle w:val="132"/>
        <w:rPr>
          <w:rFonts w:hint="eastAsia"/>
        </w:rPr>
      </w:pPr>
      <w:r>
        <w:rPr>
          <w:rFonts w:hint="eastAsia"/>
        </w:rPr>
        <w:t>灌浆料试块应标注工程部位及灌浆日期。</w:t>
      </w:r>
    </w:p>
    <w:p w14:paraId="0F4E95A6">
      <w:pPr>
        <w:pStyle w:val="165"/>
        <w:rPr>
          <w:rFonts w:hint="eastAsia"/>
        </w:rPr>
      </w:pPr>
      <w:r>
        <w:rPr>
          <w:rFonts w:hint="eastAsia"/>
        </w:rPr>
        <w:t>隐蔽工程验收应执行会签制度：</w:t>
      </w:r>
    </w:p>
    <w:p w14:paraId="54CFB23B">
      <w:pPr>
        <w:pStyle w:val="132"/>
        <w:rPr>
          <w:rFonts w:hint="eastAsia"/>
        </w:rPr>
      </w:pPr>
      <w:r>
        <w:rPr>
          <w:rFonts w:hint="eastAsia"/>
        </w:rPr>
        <w:t>灌浆套筒节点应经监理旁站确认；</w:t>
      </w:r>
    </w:p>
    <w:p w14:paraId="3EF572BA">
      <w:pPr>
        <w:pStyle w:val="132"/>
        <w:rPr>
          <w:rFonts w:hint="eastAsia"/>
        </w:rPr>
      </w:pPr>
      <w:r>
        <w:rPr>
          <w:rFonts w:hint="eastAsia"/>
        </w:rPr>
        <w:t>后浇区钢筋隐蔽前应进行三维扫描存档。</w:t>
      </w:r>
    </w:p>
    <w:p w14:paraId="693F159F">
      <w:pPr>
        <w:pStyle w:val="165"/>
        <w:rPr>
          <w:rFonts w:hint="eastAsia"/>
        </w:rPr>
      </w:pPr>
      <w:r>
        <w:rPr>
          <w:rFonts w:hint="eastAsia"/>
        </w:rPr>
        <w:t>分部工程验收应包含：</w:t>
      </w:r>
    </w:p>
    <w:p w14:paraId="342D5C9D">
      <w:pPr>
        <w:pStyle w:val="132"/>
        <w:rPr>
          <w:rFonts w:hint="eastAsia"/>
        </w:rPr>
      </w:pPr>
      <w:r>
        <w:rPr>
          <w:rFonts w:hint="eastAsia"/>
        </w:rPr>
        <w:t>构件安装精度统计分析报告；</w:t>
      </w:r>
    </w:p>
    <w:p w14:paraId="4B46C36F">
      <w:pPr>
        <w:pStyle w:val="132"/>
        <w:rPr>
          <w:rFonts w:hint="eastAsia"/>
        </w:rPr>
      </w:pPr>
      <w:r>
        <w:rPr>
          <w:rFonts w:hint="eastAsia"/>
        </w:rPr>
        <w:t>节点抗拔/抗剪性能抽检记录；</w:t>
      </w:r>
    </w:p>
    <w:p w14:paraId="74C44F57">
      <w:pPr>
        <w:pStyle w:val="132"/>
        <w:rPr>
          <w:rFonts w:hint="eastAsia"/>
        </w:rPr>
      </w:pPr>
      <w:r>
        <w:rPr>
          <w:rFonts w:hint="eastAsia"/>
        </w:rPr>
        <w:t>结构实体回弹强度评估数据。</w:t>
      </w:r>
    </w:p>
    <w:p w14:paraId="5BAEC280">
      <w:pPr>
        <w:pStyle w:val="105"/>
        <w:spacing w:before="120" w:after="120"/>
        <w:rPr>
          <w:rFonts w:hint="eastAsia"/>
        </w:rPr>
      </w:pPr>
      <w:r>
        <w:rPr>
          <w:rFonts w:hint="eastAsia"/>
        </w:rPr>
        <w:t>绿色施工管理</w:t>
      </w:r>
    </w:p>
    <w:p w14:paraId="5A6890F3">
      <w:pPr>
        <w:pStyle w:val="165"/>
        <w:rPr>
          <w:rFonts w:hint="eastAsia"/>
        </w:rPr>
      </w:pPr>
      <w:r>
        <w:rPr>
          <w:rFonts w:hint="eastAsia"/>
        </w:rPr>
        <w:t>应控制装配施工污染：</w:t>
      </w:r>
    </w:p>
    <w:p w14:paraId="788D9C0E">
      <w:pPr>
        <w:pStyle w:val="132"/>
        <w:rPr>
          <w:rFonts w:hint="eastAsia"/>
        </w:rPr>
      </w:pPr>
      <w:r>
        <w:rPr>
          <w:rFonts w:hint="eastAsia"/>
        </w:rPr>
        <w:t>灌浆废料应集中回收处理，不应直接排入市政管网；</w:t>
      </w:r>
    </w:p>
    <w:p w14:paraId="6BA8C6DC">
      <w:pPr>
        <w:pStyle w:val="132"/>
        <w:rPr>
          <w:rFonts w:hint="eastAsia"/>
        </w:rPr>
      </w:pPr>
      <w:r>
        <w:rPr>
          <w:rFonts w:hint="eastAsia"/>
        </w:rPr>
        <w:t>切割粉尘应采用湿法作业或负压收集装置。</w:t>
      </w:r>
    </w:p>
    <w:p w14:paraId="44E1D6D7">
      <w:pPr>
        <w:pStyle w:val="165"/>
        <w:rPr>
          <w:rFonts w:hint="eastAsia"/>
        </w:rPr>
      </w:pPr>
      <w:r>
        <w:rPr>
          <w:rFonts w:hint="eastAsia"/>
        </w:rPr>
        <w:t>宜推广节材措施：</w:t>
      </w:r>
    </w:p>
    <w:p w14:paraId="26FBC5C2">
      <w:pPr>
        <w:pStyle w:val="132"/>
        <w:rPr>
          <w:rFonts w:hint="eastAsia"/>
        </w:rPr>
      </w:pPr>
      <w:r>
        <w:rPr>
          <w:rFonts w:hint="eastAsia"/>
        </w:rPr>
        <w:t>临时支撑系统采用标准化可调式钢构件；</w:t>
      </w:r>
    </w:p>
    <w:p w14:paraId="674CF044">
      <w:pPr>
        <w:pStyle w:val="132"/>
      </w:pPr>
      <w:r>
        <w:rPr>
          <w:rFonts w:hint="eastAsia"/>
        </w:rPr>
        <w:t>预制楼梯防护采用可周转金属罩盖。</w:t>
      </w:r>
    </w:p>
    <w:p w14:paraId="1CFF0C54">
      <w:pPr>
        <w:pStyle w:val="104"/>
        <w:spacing w:before="240" w:after="240"/>
        <w:rPr>
          <w:rFonts w:hint="eastAsia"/>
        </w:rPr>
      </w:pPr>
      <w:bookmarkStart w:id="47" w:name="_Toc204603869"/>
      <w:r>
        <w:rPr>
          <w:rFonts w:hint="eastAsia"/>
        </w:rPr>
        <w:t>信息管理</w:t>
      </w:r>
      <w:bookmarkEnd w:id="47"/>
    </w:p>
    <w:p w14:paraId="7F88C72E">
      <w:pPr>
        <w:pStyle w:val="105"/>
        <w:spacing w:before="120" w:after="120"/>
        <w:rPr>
          <w:rFonts w:hint="eastAsia"/>
        </w:rPr>
      </w:pPr>
      <w:r>
        <w:rPr>
          <w:rFonts w:hint="eastAsia"/>
        </w:rPr>
        <w:t>管理体系</w:t>
      </w:r>
    </w:p>
    <w:p w14:paraId="3D4E39A8">
      <w:pPr>
        <w:pStyle w:val="165"/>
        <w:rPr>
          <w:rFonts w:hint="eastAsia"/>
        </w:rPr>
      </w:pPr>
      <w:r>
        <w:rPr>
          <w:rFonts w:hint="eastAsia"/>
        </w:rPr>
        <w:t>应建立覆盖设计、生产、施工全流程的协同管理平台，实现数据互联互通。</w:t>
      </w:r>
    </w:p>
    <w:p w14:paraId="7D06A4F0">
      <w:pPr>
        <w:pStyle w:val="165"/>
        <w:rPr>
          <w:rFonts w:hint="eastAsia"/>
        </w:rPr>
      </w:pPr>
      <w:r>
        <w:rPr>
          <w:rFonts w:hint="eastAsia"/>
        </w:rPr>
        <w:t>项目经理部应配备专职信息管理员，负责系统维护与数据核验。</w:t>
      </w:r>
    </w:p>
    <w:p w14:paraId="02F29343">
      <w:pPr>
        <w:pStyle w:val="165"/>
        <w:rPr>
          <w:rFonts w:hint="eastAsia"/>
        </w:rPr>
      </w:pPr>
      <w:r>
        <w:rPr>
          <w:rFonts w:hint="eastAsia"/>
        </w:rPr>
        <w:t>平台数据存储期限不应少于工程竣工验收后10年。</w:t>
      </w:r>
    </w:p>
    <w:p w14:paraId="65AA40E9">
      <w:pPr>
        <w:pStyle w:val="105"/>
        <w:spacing w:before="120" w:after="120"/>
        <w:rPr>
          <w:rFonts w:hint="eastAsia"/>
        </w:rPr>
      </w:pPr>
      <w:r>
        <w:rPr>
          <w:rFonts w:hint="eastAsia"/>
        </w:rPr>
        <w:t>基础数据管理</w:t>
      </w:r>
    </w:p>
    <w:p w14:paraId="4F8910D9">
      <w:pPr>
        <w:pStyle w:val="65"/>
        <w:spacing w:before="120" w:after="120"/>
        <w:rPr>
          <w:rFonts w:hint="eastAsia"/>
        </w:rPr>
      </w:pPr>
      <w:r>
        <w:rPr>
          <w:rFonts w:hint="eastAsia"/>
        </w:rPr>
        <w:t>构件信息库</w:t>
      </w:r>
    </w:p>
    <w:p w14:paraId="58582561">
      <w:pPr>
        <w:pStyle w:val="164"/>
        <w:rPr>
          <w:rFonts w:hint="eastAsia"/>
        </w:rPr>
      </w:pPr>
      <w:r>
        <w:rPr>
          <w:rFonts w:hint="eastAsia"/>
        </w:rPr>
        <w:t>预制构件应绑定唯一识别码，关联几何尺寸、材料强度、预埋件定位等参数。</w:t>
      </w:r>
    </w:p>
    <w:p w14:paraId="489EDE31">
      <w:pPr>
        <w:pStyle w:val="164"/>
        <w:rPr>
          <w:rFonts w:hint="eastAsia"/>
        </w:rPr>
      </w:pPr>
      <w:r>
        <w:rPr>
          <w:rFonts w:hint="eastAsia"/>
        </w:rPr>
        <w:t>进场验收数据宜通过移动终端实时上传，包括外观缺陷记录、尺寸复测结果。</w:t>
      </w:r>
    </w:p>
    <w:p w14:paraId="11BEE37B">
      <w:pPr>
        <w:pStyle w:val="65"/>
        <w:spacing w:before="120" w:after="120"/>
        <w:rPr>
          <w:rFonts w:hint="eastAsia"/>
        </w:rPr>
      </w:pPr>
      <w:r>
        <w:rPr>
          <w:rFonts w:hint="eastAsia"/>
        </w:rPr>
        <w:t>过程数据采集</w:t>
      </w:r>
    </w:p>
    <w:p w14:paraId="6329ABD1">
      <w:pPr>
        <w:pStyle w:val="164"/>
        <w:rPr>
          <w:rFonts w:hint="eastAsia"/>
        </w:rPr>
      </w:pPr>
      <w:r>
        <w:rPr>
          <w:rFonts w:hint="eastAsia"/>
        </w:rPr>
        <w:t>吊装工序应记录时间节点、操作人员及定位偏差值。</w:t>
      </w:r>
    </w:p>
    <w:p w14:paraId="50B14B5D">
      <w:pPr>
        <w:pStyle w:val="164"/>
        <w:rPr>
          <w:rFonts w:hint="eastAsia"/>
        </w:rPr>
      </w:pPr>
      <w:r>
        <w:rPr>
          <w:rFonts w:hint="eastAsia"/>
        </w:rPr>
        <w:t>灌浆施工应上传压力曲线、浆料批号及环境温湿度。</w:t>
      </w:r>
    </w:p>
    <w:p w14:paraId="23AA43E4">
      <w:pPr>
        <w:pStyle w:val="105"/>
        <w:spacing w:before="120" w:after="120"/>
        <w:rPr>
          <w:rFonts w:hint="eastAsia"/>
        </w:rPr>
      </w:pPr>
      <w:r>
        <w:rPr>
          <w:rFonts w:hint="eastAsia"/>
        </w:rPr>
        <w:t>BIM技术应用</w:t>
      </w:r>
    </w:p>
    <w:p w14:paraId="55FB530D">
      <w:pPr>
        <w:pStyle w:val="165"/>
        <w:rPr>
          <w:rFonts w:hint="eastAsia"/>
        </w:rPr>
      </w:pPr>
      <w:r>
        <w:rPr>
          <w:rFonts w:hint="eastAsia"/>
        </w:rPr>
        <w:t>施工前应基于BIM模型进行碰撞检查，优化节点构造与管线排布。</w:t>
      </w:r>
    </w:p>
    <w:p w14:paraId="25ADEFAB">
      <w:pPr>
        <w:pStyle w:val="165"/>
        <w:rPr>
          <w:rFonts w:hint="eastAsia"/>
        </w:rPr>
      </w:pPr>
      <w:r>
        <w:rPr>
          <w:rFonts w:hint="eastAsia"/>
        </w:rPr>
        <w:t>现场宜采用移动端轻量化模型辅助构件定位，安装偏差超过预警值时自动报警。</w:t>
      </w:r>
    </w:p>
    <w:p w14:paraId="1CD033B6">
      <w:pPr>
        <w:pStyle w:val="165"/>
        <w:rPr>
          <w:rFonts w:hint="eastAsia"/>
        </w:rPr>
      </w:pPr>
      <w:r>
        <w:rPr>
          <w:rFonts w:hint="eastAsia"/>
        </w:rPr>
        <w:t>关键节点施工工艺应通过BIM动画进行可视化交底。</w:t>
      </w:r>
    </w:p>
    <w:p w14:paraId="4D0B32DE">
      <w:pPr>
        <w:pStyle w:val="105"/>
        <w:spacing w:before="120" w:after="120"/>
        <w:rPr>
          <w:rFonts w:hint="eastAsia"/>
        </w:rPr>
      </w:pPr>
      <w:r>
        <w:rPr>
          <w:rFonts w:hint="eastAsia"/>
        </w:rPr>
        <w:t>质量追溯管理</w:t>
      </w:r>
    </w:p>
    <w:p w14:paraId="41AB5813">
      <w:pPr>
        <w:pStyle w:val="65"/>
        <w:spacing w:before="120" w:after="120"/>
        <w:rPr>
          <w:rFonts w:hint="eastAsia"/>
        </w:rPr>
      </w:pPr>
      <w:r>
        <w:rPr>
          <w:rFonts w:hint="eastAsia"/>
        </w:rPr>
        <w:t>材料追溯</w:t>
      </w:r>
    </w:p>
    <w:p w14:paraId="655E9A2E">
      <w:pPr>
        <w:pStyle w:val="56"/>
        <w:ind w:firstLine="420"/>
        <w:rPr>
          <w:rFonts w:hint="eastAsia"/>
        </w:rPr>
      </w:pPr>
      <w:r>
        <w:rPr>
          <w:rFonts w:hint="eastAsia"/>
        </w:rPr>
        <w:t>钢筋、灌浆料等主材应扫描二维码查验生产许可证、检测报告及使用部位。</w:t>
      </w:r>
    </w:p>
    <w:p w14:paraId="794DC946">
      <w:pPr>
        <w:pStyle w:val="65"/>
        <w:spacing w:before="120" w:after="120"/>
        <w:rPr>
          <w:rFonts w:hint="eastAsia"/>
        </w:rPr>
      </w:pPr>
      <w:r>
        <w:rPr>
          <w:rFonts w:hint="eastAsia"/>
        </w:rPr>
        <w:t>工艺追溯</w:t>
      </w:r>
    </w:p>
    <w:p w14:paraId="1023C481">
      <w:pPr>
        <w:pStyle w:val="56"/>
        <w:ind w:firstLine="420"/>
        <w:rPr>
          <w:rFonts w:hint="eastAsia"/>
        </w:rPr>
      </w:pPr>
      <w:r>
        <w:rPr>
          <w:rFonts w:hint="eastAsia"/>
        </w:rPr>
        <w:t>灌浆套筒连接应关联灌浆视频、压力监测记录及饱满度检测报告，后浇混凝土应记录浇筑时间、养护周期及强度发展曲线。</w:t>
      </w:r>
    </w:p>
    <w:p w14:paraId="47363944">
      <w:pPr>
        <w:pStyle w:val="65"/>
        <w:spacing w:before="120" w:after="120"/>
        <w:rPr>
          <w:rFonts w:hint="eastAsia"/>
        </w:rPr>
      </w:pPr>
      <w:r>
        <w:rPr>
          <w:rFonts w:hint="eastAsia"/>
        </w:rPr>
        <w:t>问题溯源</w:t>
      </w:r>
    </w:p>
    <w:p w14:paraId="063FCC95">
      <w:pPr>
        <w:pStyle w:val="56"/>
        <w:ind w:firstLine="420"/>
        <w:rPr>
          <w:rFonts w:hint="eastAsia"/>
        </w:rPr>
      </w:pPr>
      <w:r>
        <w:rPr>
          <w:rFonts w:hint="eastAsia"/>
        </w:rPr>
        <w:t>质量缺陷处理过程应形成电子档案，标注原因分析及纠正措施。</w:t>
      </w:r>
    </w:p>
    <w:p w14:paraId="61DC88FC">
      <w:pPr>
        <w:pStyle w:val="105"/>
        <w:spacing w:before="120" w:after="120"/>
        <w:rPr>
          <w:rFonts w:hint="eastAsia"/>
        </w:rPr>
      </w:pPr>
      <w:r>
        <w:rPr>
          <w:rFonts w:hint="eastAsia"/>
        </w:rPr>
        <w:t>进度与资源协同</w:t>
      </w:r>
    </w:p>
    <w:p w14:paraId="64801498">
      <w:pPr>
        <w:pStyle w:val="165"/>
        <w:rPr>
          <w:rFonts w:hint="eastAsia"/>
        </w:rPr>
      </w:pPr>
      <w:r>
        <w:rPr>
          <w:rFonts w:hint="eastAsia"/>
        </w:rPr>
        <w:t>应通过平台监控构件运输、堆存及安装进度，动态调整施工计划。</w:t>
      </w:r>
    </w:p>
    <w:p w14:paraId="20A2FE63">
      <w:pPr>
        <w:pStyle w:val="165"/>
        <w:rPr>
          <w:rFonts w:hint="eastAsia"/>
        </w:rPr>
      </w:pPr>
      <w:r>
        <w:rPr>
          <w:rFonts w:hint="eastAsia"/>
        </w:rPr>
        <w:t>大型机械设备使用状态宜实时共享，提高塔吊、泵车等设备利用率。</w:t>
      </w:r>
    </w:p>
    <w:p w14:paraId="2805D669">
      <w:pPr>
        <w:pStyle w:val="165"/>
        <w:rPr>
          <w:rFonts w:hint="eastAsia"/>
        </w:rPr>
      </w:pPr>
      <w:r>
        <w:rPr>
          <w:rFonts w:hint="eastAsia"/>
        </w:rPr>
        <w:t>劳动力配置应根据工序大数据分析优化，关键岗位人员资质信息需备案。</w:t>
      </w:r>
    </w:p>
    <w:p w14:paraId="166E516E">
      <w:pPr>
        <w:pStyle w:val="105"/>
        <w:spacing w:before="120" w:after="120"/>
        <w:rPr>
          <w:rFonts w:hint="eastAsia"/>
        </w:rPr>
      </w:pPr>
      <w:r>
        <w:rPr>
          <w:rFonts w:hint="eastAsia"/>
        </w:rPr>
        <w:t>决策支持分析</w:t>
      </w:r>
    </w:p>
    <w:p w14:paraId="2136B3AB">
      <w:pPr>
        <w:pStyle w:val="165"/>
        <w:rPr>
          <w:rFonts w:hint="eastAsia"/>
        </w:rPr>
      </w:pPr>
      <w:r>
        <w:rPr>
          <w:rFonts w:hint="eastAsia"/>
        </w:rPr>
        <w:t>平台应自动生成安装精度热力图，识别累计偏差高风险区域。</w:t>
      </w:r>
    </w:p>
    <w:p w14:paraId="4A977545">
      <w:pPr>
        <w:pStyle w:val="165"/>
        <w:rPr>
          <w:rFonts w:hint="eastAsia"/>
        </w:rPr>
      </w:pPr>
      <w:r>
        <w:rPr>
          <w:rFonts w:hint="eastAsia"/>
        </w:rPr>
        <w:t>宜建立质量缺陷预警模型，对灌浆不饱满、裂缝超限等情形自动推送整改指令。</w:t>
      </w:r>
    </w:p>
    <w:p w14:paraId="1F85F564">
      <w:pPr>
        <w:pStyle w:val="165"/>
      </w:pPr>
      <w:r>
        <w:rPr>
          <w:rFonts w:hint="eastAsia"/>
        </w:rPr>
        <w:t>每月应输出资源消耗对比报告，指导节材降耗措施优化。</w:t>
      </w:r>
    </w:p>
    <w:bookmarkEnd w:id="17"/>
    <w:p w14:paraId="209326B0">
      <w:pPr>
        <w:pStyle w:val="165"/>
        <w:numPr>
          <w:ilvl w:val="0"/>
          <w:numId w:val="0"/>
        </w:numPr>
        <w:jc w:val="center"/>
        <w:rPr>
          <w:rFonts w:hint="eastAsia"/>
        </w:rPr>
      </w:pPr>
      <w:bookmarkStart w:id="48" w:name="BookMark8"/>
      <w:r>
        <w:rPr>
          <w:rFonts w:hint="eastAsia"/>
        </w:rPr>
        <w:drawing>
          <wp:inline distT="0" distB="0" distL="0" distR="0">
            <wp:extent cx="1485900" cy="317500"/>
            <wp:effectExtent l="0" t="0" r="0" b="6350"/>
            <wp:docPr id="295065771" name="图片 1"/>
            <wp:cNvGraphicFramePr/>
            <a:graphic xmlns:a="http://schemas.openxmlformats.org/drawingml/2006/main">
              <a:graphicData uri="http://schemas.openxmlformats.org/drawingml/2006/picture">
                <pic:pic xmlns:pic="http://schemas.openxmlformats.org/drawingml/2006/picture">
                  <pic:nvPicPr>
                    <pic:cNvPr id="29506577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隶属">
    <w:altName w:val="宋体"/>
    <w:panose1 w:val="00000000000000000000"/>
    <w:charset w:val="00"/>
    <w:family w:val="auto"/>
    <w:pitch w:val="default"/>
    <w:sig w:usb0="00000000" w:usb1="00000000" w:usb2="00000000"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09F4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B6097">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2237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6393C">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5D0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01E6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6BD8">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B8C7">
    <w:pPr>
      <w:pStyle w:val="61"/>
      <w:rPr>
        <w:rFonts w:hint="eastAsia"/>
      </w:rPr>
    </w:pPr>
    <w:r>
      <w:fldChar w:fldCharType="begin"/>
    </w:r>
    <w:r>
      <w:instrText xml:space="preserve"> STYLEREF  标准文件_文件编号  \* MERGEFORMAT </w:instrText>
    </w:r>
    <w:r>
      <w:fldChar w:fldCharType="separate"/>
    </w:r>
    <w:r>
      <w:t>T/CWDPA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2CCDD">
    <w:pPr>
      <w:pStyle w:val="18"/>
      <w:jc w:val="right"/>
    </w:pPr>
    <w:r>
      <w:fldChar w:fldCharType="begin"/>
    </w:r>
    <w:r>
      <w:instrText xml:space="preserve"> STYLEREF  标准文件_文件编号  \* MERGEFORMAT </w:instrText>
    </w:r>
    <w:r>
      <w:fldChar w:fldCharType="separate"/>
    </w:r>
    <w:r>
      <w:t>T/CWDPA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8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F58"/>
    <w:rsid w:val="000476A9"/>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A0B"/>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F4A"/>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023"/>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082"/>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55F"/>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4A6F"/>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08E8"/>
    <w:rsid w:val="004E127B"/>
    <w:rsid w:val="004E1C0A"/>
    <w:rsid w:val="004E30C5"/>
    <w:rsid w:val="004E4AA5"/>
    <w:rsid w:val="004E4AEE"/>
    <w:rsid w:val="004E59E3"/>
    <w:rsid w:val="004E67C0"/>
    <w:rsid w:val="004F391A"/>
    <w:rsid w:val="004F3CFB"/>
    <w:rsid w:val="004F6456"/>
    <w:rsid w:val="004F696E"/>
    <w:rsid w:val="004F6C71"/>
    <w:rsid w:val="00501139"/>
    <w:rsid w:val="005018B7"/>
    <w:rsid w:val="0050363E"/>
    <w:rsid w:val="005039BC"/>
    <w:rsid w:val="0050434D"/>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786"/>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6D5E"/>
    <w:rsid w:val="00587ADD"/>
    <w:rsid w:val="00593A49"/>
    <w:rsid w:val="00595C72"/>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17CDF"/>
    <w:rsid w:val="006205D6"/>
    <w:rsid w:val="006252D8"/>
    <w:rsid w:val="006259BC"/>
    <w:rsid w:val="0062636B"/>
    <w:rsid w:val="00632182"/>
    <w:rsid w:val="00632AE0"/>
    <w:rsid w:val="00633C17"/>
    <w:rsid w:val="00634D9E"/>
    <w:rsid w:val="00636E3E"/>
    <w:rsid w:val="006379F7"/>
    <w:rsid w:val="00637E4D"/>
    <w:rsid w:val="00640620"/>
    <w:rsid w:val="00641638"/>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283D"/>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64A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096"/>
    <w:rsid w:val="008C219C"/>
    <w:rsid w:val="008C475E"/>
    <w:rsid w:val="008C619A"/>
    <w:rsid w:val="008D0CE8"/>
    <w:rsid w:val="008D2926"/>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654"/>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02C9"/>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05E1"/>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3B4D"/>
    <w:rsid w:val="00C03C5F"/>
    <w:rsid w:val="00C04904"/>
    <w:rsid w:val="00C0496F"/>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5C6D"/>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23A8"/>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0BCB"/>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6BF"/>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475ED"/>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BDE"/>
    <w:rsid w:val="00FD2A7C"/>
    <w:rsid w:val="00FD59EB"/>
    <w:rsid w:val="00FD6FC2"/>
    <w:rsid w:val="00FD7299"/>
    <w:rsid w:val="00FE1FBE"/>
    <w:rsid w:val="00FE3901"/>
    <w:rsid w:val="00FE39D3"/>
    <w:rsid w:val="00FE4BCE"/>
    <w:rsid w:val="00FE54AE"/>
    <w:rsid w:val="00FE576A"/>
    <w:rsid w:val="00FE7E79"/>
    <w:rsid w:val="00FF3E7D"/>
    <w:rsid w:val="00FF5B99"/>
    <w:rsid w:val="00FF730C"/>
    <w:rsid w:val="00FF73F4"/>
    <w:rsid w:val="00FF7CE4"/>
    <w:rsid w:val="00FF7E39"/>
    <w:rsid w:val="0EF13CD8"/>
    <w:rsid w:val="10CF4B78"/>
    <w:rsid w:val="207D242B"/>
    <w:rsid w:val="28780B12"/>
    <w:rsid w:val="3A77346A"/>
    <w:rsid w:val="46A71700"/>
    <w:rsid w:val="4AC027F2"/>
    <w:rsid w:val="4EBB09B8"/>
    <w:rsid w:val="57B275EC"/>
    <w:rsid w:val="588931A0"/>
    <w:rsid w:val="714C3570"/>
    <w:rsid w:val="731842A2"/>
    <w:rsid w:val="76250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10CADBCDD7D4806B405C36B17278845"/>
        <w:style w:val=""/>
        <w:category>
          <w:name w:val="常规"/>
          <w:gallery w:val="placeholder"/>
        </w:category>
        <w:types>
          <w:type w:val="bbPlcHdr"/>
        </w:types>
        <w:behaviors>
          <w:behavior w:val="content"/>
        </w:behaviors>
        <w:description w:val=""/>
        <w:guid w:val="{035A0025-0AA2-45F7-A3C4-4FACF3BEF351}"/>
      </w:docPartPr>
      <w:docPartBody>
        <w:p w14:paraId="6B3424EC">
          <w:pPr>
            <w:pStyle w:val="5"/>
          </w:pPr>
          <w:r>
            <w:rPr>
              <w:rStyle w:val="4"/>
              <w:rFonts w:hint="eastAsia"/>
            </w:rPr>
            <w:t>单击或点击此处输入文字。</w:t>
          </w:r>
        </w:p>
      </w:docPartBody>
    </w:docPart>
    <w:docPart>
      <w:docPartPr>
        <w:name w:val="157830832EDA482EAB3318F01575D0C9"/>
        <w:style w:val=""/>
        <w:category>
          <w:name w:val="常规"/>
          <w:gallery w:val="placeholder"/>
        </w:category>
        <w:types>
          <w:type w:val="bbPlcHdr"/>
        </w:types>
        <w:behaviors>
          <w:behavior w:val="content"/>
        </w:behaviors>
        <w:description w:val=""/>
        <w:guid w:val="{DC7499E0-D3F9-40A5-897C-55D65F84CD33}"/>
      </w:docPartPr>
      <w:docPartBody>
        <w:p w14:paraId="4E602151">
          <w:pPr>
            <w:pStyle w:val="6"/>
          </w:pPr>
          <w:r>
            <w:rPr>
              <w:rStyle w:val="4"/>
              <w:rFonts w:hint="eastAsia"/>
            </w:rPr>
            <w:t>选择一项。</w:t>
          </w:r>
        </w:p>
      </w:docPartBody>
    </w:docPart>
    <w:docPart>
      <w:docPartPr>
        <w:name w:val="B2F886936279444F9197E3461DF6E927"/>
        <w:style w:val=""/>
        <w:category>
          <w:name w:val="常规"/>
          <w:gallery w:val="placeholder"/>
        </w:category>
        <w:types>
          <w:type w:val="bbPlcHdr"/>
        </w:types>
        <w:behaviors>
          <w:behavior w:val="content"/>
        </w:behaviors>
        <w:description w:val=""/>
        <w:guid w:val="{7E4A0DDD-A630-4511-A4E4-2E0D9348E8CC}"/>
      </w:docPartPr>
      <w:docPartBody>
        <w:p w14:paraId="60B8501A">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ACE"/>
    <w:rsid w:val="00244023"/>
    <w:rsid w:val="00490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10CADBCDD7D4806B405C36B1727884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57830832EDA482EAB3318F01575D0C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2F886936279444F9197E3461DF6E927"/>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4931</Words>
  <Characters>5245</Characters>
  <Lines>251</Lines>
  <Paragraphs>282</Paragraphs>
  <TotalTime>4</TotalTime>
  <ScaleCrop>false</ScaleCrop>
  <LinksUpToDate>false</LinksUpToDate>
  <CharactersWithSpaces>5347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2025-07-28T01:43:00Z</dcterms:created>
  <dc:creator>Administrator</dc:creator>
  <dc:description>&lt;config cover="true" show_menu="true" version="1.0.0" doctype="SDKXY"&gt;_x000d_
&lt;/config&gt;</dc:description>
  <cp:lastModifiedBy>Shimmer</cp:lastModifiedBy>
  <cp:lastPrinted>2021-02-02T08:22:00Z</cp:lastPrinted>
  <dcterms:modified xsi:type="dcterms:W3CDTF">2025-12-15T09:11:07Z</dcterms:modified>
  <dc:title>团体标准</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D823C17C687741D18B30D56492E5E166_12</vt:lpwstr>
  </property>
</Properties>
</file>