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A133A5">
      <w:pPr>
        <w:adjustRightInd w:val="0"/>
        <w:snapToGrid w:val="0"/>
        <w:spacing w:line="360" w:lineRule="auto"/>
        <w:ind w:firstLine="420" w:firstLineChars="0"/>
        <w:jc w:val="center"/>
        <w:rPr>
          <w:rFonts w:ascii="Times New Roman" w:hAnsi="Times New Roman" w:eastAsia="黑体" w:cs="Times New Roman"/>
          <w:b/>
          <w:sz w:val="48"/>
          <w:szCs w:val="48"/>
        </w:rPr>
      </w:pPr>
    </w:p>
    <w:p w14:paraId="1947105E">
      <w:pPr>
        <w:adjustRightInd w:val="0"/>
        <w:snapToGrid w:val="0"/>
        <w:spacing w:line="360" w:lineRule="auto"/>
        <w:jc w:val="center"/>
        <w:rPr>
          <w:rFonts w:ascii="Times New Roman" w:hAnsi="Times New Roman" w:eastAsia="黑体" w:cs="Times New Roman"/>
          <w:b/>
          <w:sz w:val="48"/>
          <w:szCs w:val="48"/>
        </w:rPr>
      </w:pPr>
      <w:r>
        <w:rPr>
          <w:rFonts w:ascii="Times New Roman" w:hAnsi="Times New Roman" w:eastAsia="黑体" w:cs="Times New Roman"/>
          <w:b/>
          <w:sz w:val="48"/>
          <w:szCs w:val="48"/>
        </w:rPr>
        <w:t>团 体 标 准</w:t>
      </w:r>
    </w:p>
    <w:p w14:paraId="564BAE4E">
      <w:pPr>
        <w:adjustRightInd w:val="0"/>
        <w:snapToGrid w:val="0"/>
        <w:spacing w:line="360" w:lineRule="auto"/>
        <w:jc w:val="center"/>
        <w:rPr>
          <w:rFonts w:ascii="Times New Roman" w:hAnsi="Times New Roman" w:eastAsia="黑体" w:cs="Times New Roman"/>
          <w:b/>
          <w:sz w:val="48"/>
          <w:szCs w:val="48"/>
        </w:rPr>
      </w:pPr>
    </w:p>
    <w:p w14:paraId="306ABD1B">
      <w:pPr>
        <w:adjustRightInd w:val="0"/>
        <w:snapToGrid w:val="0"/>
        <w:spacing w:line="360" w:lineRule="auto"/>
        <w:jc w:val="center"/>
        <w:rPr>
          <w:rFonts w:hint="eastAsia" w:ascii="Times New Roman" w:hAnsi="Times New Roman" w:eastAsia="黑体" w:cs="Times New Roman"/>
          <w:b/>
          <w:sz w:val="52"/>
          <w:szCs w:val="52"/>
          <w:highlight w:val="yellow"/>
        </w:rPr>
      </w:pPr>
      <w:r>
        <w:rPr>
          <w:rFonts w:hint="eastAsia" w:ascii="Times New Roman" w:hAnsi="Times New Roman" w:eastAsia="黑体" w:cs="Times New Roman"/>
          <w:b/>
          <w:sz w:val="52"/>
          <w:szCs w:val="52"/>
        </w:rPr>
        <w:t>皮鞋专卖店导购服务规范</w:t>
      </w:r>
    </w:p>
    <w:p w14:paraId="09E57553">
      <w:pPr>
        <w:adjustRightInd w:val="0"/>
        <w:snapToGrid w:val="0"/>
        <w:spacing w:line="360" w:lineRule="auto"/>
        <w:jc w:val="center"/>
        <w:rPr>
          <w:rFonts w:ascii="Times New Roman" w:hAnsi="Times New Roman" w:eastAsia="黑体" w:cs="Times New Roman"/>
          <w:b/>
          <w:sz w:val="52"/>
          <w:szCs w:val="52"/>
          <w:highlight w:val="yellow"/>
        </w:rPr>
      </w:pPr>
    </w:p>
    <w:p w14:paraId="42D2B3B0">
      <w:pPr>
        <w:spacing w:line="480" w:lineRule="auto"/>
        <w:jc w:val="center"/>
        <w:rPr>
          <w:rFonts w:ascii="Times New Roman" w:hAnsi="Times New Roman" w:eastAsia="黑体" w:cs="Times New Roman"/>
          <w:b/>
          <w:sz w:val="52"/>
          <w:szCs w:val="52"/>
        </w:rPr>
      </w:pPr>
      <w:r>
        <w:rPr>
          <w:rFonts w:ascii="Times New Roman" w:hAnsi="Times New Roman" w:eastAsia="黑体" w:cs="Times New Roman"/>
          <w:b/>
          <w:sz w:val="52"/>
          <w:szCs w:val="52"/>
        </w:rPr>
        <w:t>编 制 说 明</w:t>
      </w:r>
    </w:p>
    <w:p w14:paraId="28444C2B">
      <w:pPr>
        <w:adjustRightInd w:val="0"/>
        <w:snapToGrid w:val="0"/>
        <w:spacing w:line="360" w:lineRule="auto"/>
        <w:rPr>
          <w:rFonts w:ascii="Times New Roman" w:hAnsi="Times New Roman" w:eastAsia="仿宋" w:cs="Times New Roman"/>
          <w:b/>
          <w:sz w:val="24"/>
          <w:szCs w:val="24"/>
        </w:rPr>
      </w:pPr>
    </w:p>
    <w:p w14:paraId="5F2AD04E">
      <w:pPr>
        <w:adjustRightInd w:val="0"/>
        <w:snapToGrid w:val="0"/>
        <w:spacing w:line="360" w:lineRule="auto"/>
        <w:rPr>
          <w:rFonts w:ascii="Times New Roman" w:hAnsi="Times New Roman" w:eastAsia="仿宋" w:cs="Times New Roman"/>
          <w:b/>
          <w:sz w:val="24"/>
          <w:szCs w:val="24"/>
        </w:rPr>
      </w:pPr>
    </w:p>
    <w:p w14:paraId="08863381">
      <w:pPr>
        <w:adjustRightInd w:val="0"/>
        <w:snapToGrid w:val="0"/>
        <w:spacing w:line="360" w:lineRule="auto"/>
        <w:rPr>
          <w:rFonts w:ascii="Times New Roman" w:hAnsi="Times New Roman" w:eastAsia="仿宋" w:cs="Times New Roman"/>
          <w:b/>
          <w:sz w:val="24"/>
          <w:szCs w:val="24"/>
        </w:rPr>
      </w:pPr>
    </w:p>
    <w:p w14:paraId="1F72964F">
      <w:pPr>
        <w:adjustRightInd w:val="0"/>
        <w:snapToGrid w:val="0"/>
        <w:spacing w:line="360" w:lineRule="auto"/>
        <w:rPr>
          <w:rFonts w:ascii="Times New Roman" w:hAnsi="Times New Roman" w:eastAsia="仿宋" w:cs="Times New Roman"/>
          <w:b/>
          <w:sz w:val="24"/>
          <w:szCs w:val="24"/>
        </w:rPr>
      </w:pPr>
    </w:p>
    <w:p w14:paraId="09FD2241">
      <w:pPr>
        <w:adjustRightInd w:val="0"/>
        <w:snapToGrid w:val="0"/>
        <w:spacing w:line="360" w:lineRule="auto"/>
        <w:rPr>
          <w:rFonts w:ascii="Times New Roman" w:hAnsi="Times New Roman" w:eastAsia="仿宋" w:cs="Times New Roman"/>
          <w:b/>
          <w:sz w:val="24"/>
          <w:szCs w:val="24"/>
        </w:rPr>
      </w:pPr>
    </w:p>
    <w:p w14:paraId="4F17CB03">
      <w:pPr>
        <w:adjustRightInd w:val="0"/>
        <w:snapToGrid w:val="0"/>
        <w:spacing w:line="360" w:lineRule="auto"/>
        <w:rPr>
          <w:rFonts w:ascii="Times New Roman" w:hAnsi="Times New Roman" w:eastAsia="仿宋" w:cs="Times New Roman"/>
          <w:b/>
          <w:sz w:val="24"/>
          <w:szCs w:val="24"/>
        </w:rPr>
      </w:pPr>
    </w:p>
    <w:p w14:paraId="5ED42328">
      <w:pPr>
        <w:adjustRightInd w:val="0"/>
        <w:snapToGrid w:val="0"/>
        <w:spacing w:line="360" w:lineRule="auto"/>
        <w:rPr>
          <w:rFonts w:ascii="Times New Roman" w:hAnsi="Times New Roman" w:eastAsia="仿宋" w:cs="Times New Roman"/>
          <w:b/>
          <w:sz w:val="24"/>
          <w:szCs w:val="24"/>
        </w:rPr>
      </w:pPr>
    </w:p>
    <w:p w14:paraId="0B55930C">
      <w:pPr>
        <w:adjustRightInd w:val="0"/>
        <w:snapToGrid w:val="0"/>
        <w:spacing w:line="360" w:lineRule="auto"/>
        <w:rPr>
          <w:rFonts w:ascii="Times New Roman" w:hAnsi="Times New Roman" w:eastAsia="仿宋" w:cs="Times New Roman"/>
          <w:b/>
          <w:sz w:val="24"/>
          <w:szCs w:val="24"/>
        </w:rPr>
      </w:pPr>
    </w:p>
    <w:p w14:paraId="6CF6DAD8">
      <w:pPr>
        <w:adjustRightInd w:val="0"/>
        <w:snapToGrid w:val="0"/>
        <w:spacing w:line="360" w:lineRule="auto"/>
        <w:rPr>
          <w:rFonts w:ascii="Times New Roman" w:hAnsi="Times New Roman" w:eastAsia="仿宋" w:cs="Times New Roman"/>
          <w:b/>
          <w:sz w:val="24"/>
          <w:szCs w:val="24"/>
        </w:rPr>
      </w:pPr>
    </w:p>
    <w:p w14:paraId="5536861B">
      <w:pPr>
        <w:adjustRightInd w:val="0"/>
        <w:snapToGrid w:val="0"/>
        <w:spacing w:line="360" w:lineRule="auto"/>
        <w:rPr>
          <w:rFonts w:ascii="Times New Roman" w:hAnsi="Times New Roman" w:eastAsia="仿宋" w:cs="Times New Roman"/>
          <w:b/>
          <w:sz w:val="24"/>
          <w:szCs w:val="24"/>
        </w:rPr>
      </w:pPr>
    </w:p>
    <w:p w14:paraId="27C39A8B">
      <w:pPr>
        <w:adjustRightInd w:val="0"/>
        <w:snapToGrid w:val="0"/>
        <w:spacing w:line="360" w:lineRule="auto"/>
        <w:rPr>
          <w:rFonts w:ascii="Times New Roman" w:hAnsi="Times New Roman" w:eastAsia="仿宋" w:cs="Times New Roman"/>
          <w:b/>
          <w:sz w:val="24"/>
          <w:szCs w:val="24"/>
        </w:rPr>
      </w:pPr>
    </w:p>
    <w:p w14:paraId="160C8D15">
      <w:pPr>
        <w:adjustRightInd w:val="0"/>
        <w:snapToGrid w:val="0"/>
        <w:spacing w:line="360" w:lineRule="auto"/>
        <w:rPr>
          <w:rFonts w:ascii="Times New Roman" w:hAnsi="Times New Roman" w:eastAsia="仿宋" w:cs="Times New Roman"/>
          <w:b/>
          <w:sz w:val="24"/>
          <w:szCs w:val="24"/>
        </w:rPr>
      </w:pPr>
    </w:p>
    <w:p w14:paraId="7A8D1626">
      <w:pPr>
        <w:spacing w:line="480" w:lineRule="auto"/>
        <w:jc w:val="center"/>
        <w:rPr>
          <w:rFonts w:ascii="Times New Roman" w:hAnsi="Times New Roman" w:eastAsia="楷体_GB2312" w:cs="Times New Roman"/>
          <w:b/>
          <w:sz w:val="36"/>
          <w:szCs w:val="36"/>
        </w:rPr>
      </w:pPr>
      <w:r>
        <w:rPr>
          <w:rFonts w:ascii="Times New Roman" w:hAnsi="Times New Roman" w:eastAsia="楷体_GB2312" w:cs="Times New Roman"/>
          <w:b/>
          <w:sz w:val="36"/>
          <w:szCs w:val="36"/>
        </w:rPr>
        <w:t>《</w:t>
      </w:r>
      <w:r>
        <w:rPr>
          <w:rFonts w:hint="eastAsia" w:ascii="Times New Roman" w:hAnsi="Times New Roman" w:eastAsia="楷体_GB2312" w:cs="Times New Roman"/>
          <w:b/>
          <w:sz w:val="36"/>
          <w:szCs w:val="36"/>
        </w:rPr>
        <w:t>皮鞋专卖店导购服务规范</w:t>
      </w:r>
      <w:r>
        <w:rPr>
          <w:rFonts w:ascii="Times New Roman" w:hAnsi="Times New Roman" w:eastAsia="楷体_GB2312" w:cs="Times New Roman"/>
          <w:b/>
          <w:sz w:val="36"/>
          <w:szCs w:val="36"/>
        </w:rPr>
        <w:t>》小组</w:t>
      </w:r>
    </w:p>
    <w:p w14:paraId="1197A080">
      <w:pPr>
        <w:spacing w:line="360" w:lineRule="auto"/>
        <w:jc w:val="center"/>
        <w:rPr>
          <w:rFonts w:ascii="Times New Roman" w:hAnsi="Times New Roman" w:eastAsia="楷体_GB2312" w:cs="Times New Roman"/>
          <w:b/>
          <w:sz w:val="36"/>
          <w:szCs w:val="36"/>
        </w:rPr>
      </w:pPr>
      <w:r>
        <w:rPr>
          <w:rFonts w:ascii="Times New Roman" w:hAnsi="Times New Roman" w:eastAsia="楷体_GB2312" w:cs="Times New Roman"/>
          <w:b/>
          <w:sz w:val="36"/>
          <w:szCs w:val="36"/>
        </w:rPr>
        <w:t>二</w:t>
      </w:r>
      <w:r>
        <w:rPr>
          <w:rFonts w:hint="eastAsia" w:ascii="Times New Roman" w:hAnsi="Times New Roman" w:eastAsia="楷体_GB2312" w:cs="Times New Roman"/>
          <w:b/>
          <w:sz w:val="36"/>
          <w:szCs w:val="36"/>
        </w:rPr>
        <w:t>〇</w:t>
      </w:r>
      <w:r>
        <w:rPr>
          <w:rFonts w:ascii="Times New Roman" w:hAnsi="Times New Roman" w:eastAsia="楷体_GB2312" w:cs="Times New Roman"/>
          <w:b/>
          <w:sz w:val="36"/>
          <w:szCs w:val="36"/>
        </w:rPr>
        <w:t>二</w:t>
      </w:r>
      <w:r>
        <w:rPr>
          <w:rFonts w:hint="eastAsia" w:ascii="Times New Roman" w:hAnsi="Times New Roman" w:eastAsia="楷体_GB2312" w:cs="Times New Roman"/>
          <w:b/>
          <w:sz w:val="36"/>
          <w:szCs w:val="36"/>
        </w:rPr>
        <w:t>五</w:t>
      </w:r>
      <w:r>
        <w:rPr>
          <w:rFonts w:ascii="Times New Roman" w:hAnsi="Times New Roman" w:eastAsia="楷体_GB2312" w:cs="Times New Roman"/>
          <w:b/>
          <w:sz w:val="36"/>
          <w:szCs w:val="36"/>
        </w:rPr>
        <w:t>年</w:t>
      </w:r>
      <w:r>
        <w:rPr>
          <w:rFonts w:hint="eastAsia" w:ascii="Times New Roman" w:hAnsi="Times New Roman" w:eastAsia="楷体_GB2312" w:cs="Times New Roman"/>
          <w:b/>
          <w:sz w:val="36"/>
          <w:szCs w:val="36"/>
          <w:lang w:eastAsia="zh-CN"/>
        </w:rPr>
        <w:t>十一</w:t>
      </w:r>
      <w:r>
        <w:rPr>
          <w:rFonts w:ascii="Times New Roman" w:hAnsi="Times New Roman" w:eastAsia="楷体_GB2312" w:cs="Times New Roman"/>
          <w:b/>
          <w:sz w:val="36"/>
          <w:szCs w:val="36"/>
        </w:rPr>
        <w:t>月</w:t>
      </w:r>
    </w:p>
    <w:p w14:paraId="00F5092C">
      <w:pPr>
        <w:spacing w:line="360" w:lineRule="auto"/>
        <w:jc w:val="center"/>
        <w:rPr>
          <w:rFonts w:ascii="Times New Roman" w:hAnsi="Times New Roman" w:eastAsia="楷体_GB2312" w:cs="Times New Roman"/>
          <w:b/>
          <w:sz w:val="36"/>
          <w:szCs w:val="36"/>
        </w:rPr>
      </w:pPr>
    </w:p>
    <w:p w14:paraId="536D9913">
      <w:pPr>
        <w:spacing w:line="360" w:lineRule="auto"/>
        <w:jc w:val="center"/>
        <w:rPr>
          <w:rFonts w:ascii="Times New Roman" w:hAnsi="Times New Roman" w:eastAsia="黑体" w:cs="Times New Roman"/>
          <w:sz w:val="36"/>
          <w:szCs w:val="36"/>
        </w:rPr>
        <w:sectPr>
          <w:pgSz w:w="11906" w:h="16838"/>
          <w:pgMar w:top="1418" w:right="1418" w:bottom="1985" w:left="1797" w:header="851" w:footer="992" w:gutter="0"/>
          <w:cols w:space="425" w:num="1"/>
          <w:docGrid w:linePitch="312" w:charSpace="0"/>
        </w:sectPr>
      </w:pPr>
    </w:p>
    <w:sdt>
      <w:sdtPr>
        <w:rPr>
          <w:rFonts w:ascii="Times New Roman" w:hAnsi="Times New Roman" w:eastAsia="黑体" w:cs="Times New Roman"/>
          <w:sz w:val="44"/>
          <w:szCs w:val="48"/>
        </w:rPr>
        <w:id w:val="147469836"/>
        <w15:color w:val="DBDBDB"/>
        <w:docPartObj>
          <w:docPartGallery w:val="Table of Contents"/>
          <w:docPartUnique/>
        </w:docPartObj>
      </w:sdtPr>
      <w:sdtEndPr>
        <w:rPr>
          <w:rFonts w:ascii="Times New Roman" w:hAnsi="Times New Roman" w:eastAsia="黑体" w:cs="Times New Roman"/>
          <w:sz w:val="21"/>
          <w:szCs w:val="36"/>
        </w:rPr>
      </w:sdtEndPr>
      <w:sdtContent>
        <w:p w14:paraId="2E9661AB">
          <w:pPr>
            <w:spacing w:before="480" w:beforeLines="200" w:after="480" w:afterLines="200"/>
            <w:jc w:val="center"/>
            <w:rPr>
              <w:rFonts w:ascii="Times New Roman" w:hAnsi="Times New Roman" w:eastAsia="黑体" w:cs="Times New Roman"/>
              <w:sz w:val="44"/>
              <w:szCs w:val="48"/>
            </w:rPr>
          </w:pPr>
          <w:r>
            <w:rPr>
              <w:rFonts w:ascii="Times New Roman" w:hAnsi="Times New Roman" w:eastAsia="黑体" w:cs="Times New Roman"/>
              <w:sz w:val="44"/>
              <w:szCs w:val="48"/>
            </w:rPr>
            <w:t>目  录</w:t>
          </w:r>
        </w:p>
        <w:p w14:paraId="5A2DB469">
          <w:pPr>
            <w:pStyle w:val="10"/>
            <w:tabs>
              <w:tab w:val="right" w:leader="dot" w:pos="8691"/>
            </w:tabs>
            <w:spacing w:line="480" w:lineRule="auto"/>
            <w:rPr>
              <w:rFonts w:ascii="Times New Roman" w:hAnsi="Times New Roman" w:eastAsia="黑体" w:cs="Times New Roman"/>
              <w:sz w:val="28"/>
              <w:szCs w:val="32"/>
            </w:rPr>
          </w:pPr>
          <w:r>
            <w:rPr>
              <w:rFonts w:ascii="Times New Roman" w:hAnsi="Times New Roman" w:eastAsia="黑体" w:cs="Times New Roman"/>
              <w:sz w:val="32"/>
              <w:szCs w:val="32"/>
            </w:rPr>
            <w:fldChar w:fldCharType="begin"/>
          </w:r>
          <w:r>
            <w:rPr>
              <w:rFonts w:ascii="Times New Roman" w:hAnsi="Times New Roman" w:eastAsia="黑体" w:cs="Times New Roman"/>
              <w:sz w:val="32"/>
              <w:szCs w:val="32"/>
            </w:rPr>
            <w:instrText xml:space="preserve">TOC \o "1-1" \h \u </w:instrText>
          </w:r>
          <w:r>
            <w:rPr>
              <w:rFonts w:ascii="Times New Roman" w:hAnsi="Times New Roman" w:eastAsia="黑体" w:cs="Times New Roman"/>
              <w:sz w:val="32"/>
              <w:szCs w:val="32"/>
            </w:rPr>
            <w:fldChar w:fldCharType="separate"/>
          </w:r>
          <w:r>
            <w:fldChar w:fldCharType="begin"/>
          </w:r>
          <w:r>
            <w:instrText xml:space="preserve"> HYPERLINK \l "_Toc19956" </w:instrText>
          </w:r>
          <w:r>
            <w:fldChar w:fldCharType="separate"/>
          </w:r>
          <w:r>
            <w:rPr>
              <w:rFonts w:ascii="Times New Roman" w:hAnsi="Times New Roman" w:eastAsia="黑体" w:cs="Times New Roman"/>
              <w:sz w:val="28"/>
              <w:szCs w:val="40"/>
            </w:rPr>
            <w:t>一、工作简况</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_Toc19956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266F1170">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"_Toc16067" </w:instrText>
          </w:r>
          <w:r>
            <w:fldChar w:fldCharType="separate"/>
          </w:r>
          <w:r>
            <w:rPr>
              <w:rFonts w:ascii="Times New Roman" w:hAnsi="Times New Roman" w:eastAsia="黑体" w:cs="Times New Roman"/>
              <w:sz w:val="28"/>
              <w:szCs w:val="40"/>
            </w:rPr>
            <w:t>二、标准编制原则和主要内容</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_Toc16067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3</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0DFCC1BE">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"_Toc12675" </w:instrText>
          </w:r>
          <w:r>
            <w:fldChar w:fldCharType="separate"/>
          </w:r>
          <w:r>
            <w:rPr>
              <w:rFonts w:ascii="Times New Roman" w:hAnsi="Times New Roman" w:eastAsia="黑体" w:cs="Times New Roman"/>
              <w:kern w:val="0"/>
              <w:sz w:val="28"/>
              <w:szCs w:val="40"/>
            </w:rPr>
            <w:t>三、主要试验和情况分析</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_Toc12675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18</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34A15783">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"_Toc20840" </w:instrText>
          </w:r>
          <w:r>
            <w:fldChar w:fldCharType="separate"/>
          </w:r>
          <w:r>
            <w:rPr>
              <w:rFonts w:ascii="Times New Roman" w:hAnsi="Times New Roman" w:eastAsia="黑体" w:cs="Times New Roman"/>
              <w:kern w:val="0"/>
              <w:sz w:val="28"/>
              <w:szCs w:val="40"/>
            </w:rPr>
            <w:t>四、标准中涉及专利的情况</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_Toc20840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18</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2CA70CFD">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"_Toc29243" </w:instrText>
          </w:r>
          <w:r>
            <w:fldChar w:fldCharType="separate"/>
          </w:r>
          <w:r>
            <w:rPr>
              <w:rFonts w:ascii="Times New Roman" w:hAnsi="Times New Roman" w:eastAsia="黑体" w:cs="Times New Roman"/>
              <w:kern w:val="0"/>
              <w:sz w:val="28"/>
              <w:szCs w:val="40"/>
            </w:rPr>
            <w:t>五、预期达到的效益（经济、效益、生态等），对产业发展的作用的情况</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_Toc29243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19</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1FAA1BEE">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"_Toc4979" </w:instrText>
          </w:r>
          <w:r>
            <w:fldChar w:fldCharType="separate"/>
          </w:r>
          <w:r>
            <w:rPr>
              <w:rFonts w:ascii="Times New Roman" w:hAnsi="Times New Roman" w:eastAsia="黑体" w:cs="Times New Roman"/>
              <w:kern w:val="0"/>
              <w:sz w:val="28"/>
              <w:szCs w:val="40"/>
            </w:rPr>
            <w:t>六、与有关的现行法律、法规和强制性国家标准的关系</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_Toc4979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19</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5BFE4104">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"_Toc21799" </w:instrText>
          </w:r>
          <w:r>
            <w:fldChar w:fldCharType="separate"/>
          </w:r>
          <w:r>
            <w:rPr>
              <w:rFonts w:ascii="Times New Roman" w:hAnsi="Times New Roman" w:eastAsia="黑体" w:cs="Times New Roman"/>
              <w:kern w:val="0"/>
              <w:sz w:val="28"/>
              <w:szCs w:val="40"/>
            </w:rPr>
            <w:t>七、重大意见分歧的处理依据和结果</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_Toc21799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19</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44112233">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"_Toc20135" </w:instrText>
          </w:r>
          <w:r>
            <w:fldChar w:fldCharType="separate"/>
          </w:r>
          <w:r>
            <w:rPr>
              <w:rFonts w:ascii="Times New Roman" w:hAnsi="Times New Roman" w:eastAsia="黑体" w:cs="Times New Roman"/>
              <w:kern w:val="0"/>
              <w:sz w:val="28"/>
              <w:szCs w:val="40"/>
            </w:rPr>
            <w:t>八、标准性质的建议说明</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_Toc20135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19</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6059E002">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"_Toc23106" </w:instrText>
          </w:r>
          <w:r>
            <w:fldChar w:fldCharType="separate"/>
          </w:r>
          <w:r>
            <w:rPr>
              <w:rFonts w:ascii="Times New Roman" w:hAnsi="Times New Roman" w:eastAsia="黑体" w:cs="Times New Roman"/>
              <w:kern w:val="0"/>
              <w:sz w:val="28"/>
              <w:szCs w:val="40"/>
            </w:rPr>
            <w:t>九、贯彻标准的要求和措施建议</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_Toc23106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19</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72F392A0">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"_Toc29517" </w:instrText>
          </w:r>
          <w:r>
            <w:fldChar w:fldCharType="separate"/>
          </w:r>
          <w:r>
            <w:rPr>
              <w:rFonts w:ascii="Times New Roman" w:hAnsi="Times New Roman" w:eastAsia="黑体" w:cs="Times New Roman"/>
              <w:kern w:val="0"/>
              <w:sz w:val="28"/>
              <w:szCs w:val="40"/>
            </w:rPr>
            <w:t>十、废止现行相关标准的建议</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_Toc29517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19</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054D0588">
          <w:pPr>
            <w:pStyle w:val="10"/>
            <w:tabs>
              <w:tab w:val="right" w:leader="dot" w:pos="8691"/>
            </w:tabs>
            <w:spacing w:line="480" w:lineRule="auto"/>
            <w:rPr>
              <w:rFonts w:ascii="Times New Roman" w:hAnsi="Times New Roman" w:eastAsia="黑体" w:cs="Times New Roman"/>
              <w:sz w:val="36"/>
              <w:szCs w:val="36"/>
            </w:rPr>
            <w:sectPr>
              <w:footerReference r:id="rId3" w:type="default"/>
              <w:pgSz w:w="11906" w:h="16838"/>
              <w:pgMar w:top="1418" w:right="1418" w:bottom="1985" w:left="1797" w:header="851" w:footer="992" w:gutter="0"/>
              <w:pgNumType w:start="1"/>
              <w:cols w:space="425" w:num="1"/>
              <w:docGrid w:linePitch="312" w:charSpace="0"/>
            </w:sectPr>
          </w:pPr>
          <w:r>
            <w:fldChar w:fldCharType="begin"/>
          </w:r>
          <w:r>
            <w:instrText xml:space="preserve"> HYPERLINK \l "_Toc18435" </w:instrText>
          </w:r>
          <w:r>
            <w:fldChar w:fldCharType="separate"/>
          </w:r>
          <w:r>
            <w:rPr>
              <w:rFonts w:ascii="Times New Roman" w:hAnsi="Times New Roman" w:eastAsia="黑体" w:cs="Times New Roman"/>
              <w:kern w:val="0"/>
              <w:sz w:val="28"/>
              <w:szCs w:val="40"/>
            </w:rPr>
            <w:t>十一、其他应予说明的事项</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_Toc18435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19</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r>
            <w:rPr>
              <w:rFonts w:ascii="Times New Roman" w:hAnsi="Times New Roman" w:eastAsia="黑体" w:cs="Times New Roman"/>
              <w:szCs w:val="32"/>
            </w:rPr>
            <w:fldChar w:fldCharType="end"/>
          </w:r>
        </w:p>
      </w:sdtContent>
    </w:sdt>
    <w:p w14:paraId="76D9DA31">
      <w:pPr>
        <w:spacing w:line="360" w:lineRule="auto"/>
        <w:jc w:val="center"/>
        <w:outlineLvl w:val="1"/>
        <w:rPr>
          <w:rFonts w:ascii="Times New Roman" w:hAnsi="Times New Roman" w:eastAsia="黑体" w:cs="Times New Roman"/>
          <w:b/>
          <w:sz w:val="36"/>
          <w:szCs w:val="36"/>
        </w:rPr>
      </w:pPr>
      <w:r>
        <w:rPr>
          <w:rFonts w:ascii="Times New Roman" w:hAnsi="Times New Roman" w:eastAsia="黑体" w:cs="Times New Roman"/>
          <w:b/>
          <w:sz w:val="36"/>
          <w:szCs w:val="36"/>
        </w:rPr>
        <w:t>《</w:t>
      </w:r>
      <w:r>
        <w:rPr>
          <w:rFonts w:hint="eastAsia" w:ascii="Times New Roman" w:hAnsi="Times New Roman" w:eastAsia="黑体" w:cs="Times New Roman"/>
          <w:b/>
          <w:sz w:val="36"/>
          <w:szCs w:val="36"/>
        </w:rPr>
        <w:t>皮鞋专卖店导购服务规范</w:t>
      </w:r>
      <w:r>
        <w:rPr>
          <w:rFonts w:ascii="Times New Roman" w:hAnsi="Times New Roman" w:eastAsia="黑体" w:cs="Times New Roman"/>
          <w:b/>
          <w:sz w:val="36"/>
          <w:szCs w:val="36"/>
        </w:rPr>
        <w:t>》团体标准</w:t>
      </w:r>
    </w:p>
    <w:p w14:paraId="1E9474F3">
      <w:pPr>
        <w:spacing w:line="360" w:lineRule="auto"/>
        <w:jc w:val="center"/>
        <w:outlineLvl w:val="1"/>
        <w:rPr>
          <w:rFonts w:ascii="Times New Roman" w:hAnsi="Times New Roman" w:eastAsia="黑体" w:cs="Times New Roman"/>
          <w:b/>
          <w:sz w:val="36"/>
          <w:szCs w:val="36"/>
        </w:rPr>
      </w:pPr>
      <w:r>
        <w:rPr>
          <w:rFonts w:ascii="Times New Roman" w:hAnsi="Times New Roman" w:eastAsia="黑体" w:cs="Times New Roman"/>
          <w:b/>
          <w:sz w:val="36"/>
          <w:szCs w:val="36"/>
        </w:rPr>
        <w:t>编制说明</w:t>
      </w:r>
    </w:p>
    <w:p w14:paraId="40575E87">
      <w:pPr>
        <w:spacing w:line="360" w:lineRule="auto"/>
        <w:outlineLvl w:val="0"/>
        <w:rPr>
          <w:rFonts w:ascii="Times New Roman" w:hAnsi="Times New Roman" w:eastAsia="黑体" w:cs="Times New Roman"/>
          <w:b/>
          <w:color w:val="000000" w:themeColor="text1"/>
          <w:sz w:val="30"/>
          <w:szCs w:val="30"/>
          <w14:textFill>
            <w14:solidFill>
              <w14:schemeClr w14:val="tx1"/>
            </w14:solidFill>
          </w14:textFill>
        </w:rPr>
      </w:pPr>
      <w:bookmarkStart w:id="0" w:name="_Toc19956"/>
      <w:r>
        <w:rPr>
          <w:rFonts w:ascii="Times New Roman" w:hAnsi="Times New Roman" w:eastAsia="黑体" w:cs="Times New Roman"/>
          <w:b/>
          <w:sz w:val="30"/>
          <w:szCs w:val="30"/>
        </w:rPr>
        <w:t>一、工作简况</w:t>
      </w:r>
      <w:bookmarkEnd w:id="0"/>
    </w:p>
    <w:p w14:paraId="72D2291F">
      <w:pPr>
        <w:spacing w:line="360" w:lineRule="auto"/>
        <w:outlineLvl w:val="2"/>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（一）任务来源</w:t>
      </w:r>
    </w:p>
    <w:p w14:paraId="13296171">
      <w:pPr>
        <w:snapToGrid w:val="0"/>
        <w:spacing w:line="360" w:lineRule="auto"/>
        <w:ind w:firstLine="560" w:firstLineChars="200"/>
        <w:rPr>
          <w:rFonts w:hint="eastAsia" w:ascii="Times New Roman" w:hAnsi="Times New Roman" w:cs="Times New Roman"/>
          <w:kern w:val="0"/>
          <w:sz w:val="28"/>
          <w:szCs w:val="28"/>
        </w:rPr>
      </w:pPr>
      <w:r>
        <w:rPr>
          <w:rFonts w:hint="eastAsia" w:ascii="Times New Roman" w:hAnsi="Times New Roman" w:cs="Times New Roman"/>
          <w:kern w:val="0"/>
          <w:sz w:val="28"/>
          <w:szCs w:val="28"/>
        </w:rPr>
        <w:t>随着消费升级和市场竞争加剧，消费者对皮鞋专卖店的服务质量提出了更高要求。导购服务作为影响消费者购物体验的关键环节，目前行业内仍存在服务水平参差不齐、服务流程不规范等问题。部分专卖店的导购人员缺乏专业培训，服务态度、产品知识、销售技巧等方面存在不足，导致顾客满意度不高，甚至影响品牌形象。此外，由于缺乏统一的行业服务标准，不同企业在服务模式、售后保障等方面差异较大，不利于行业的规范化发展。在此背景下，制定一套科学、合理的导购服务规范，对提升皮鞋专卖店服务质量、优化消费体验具有重要意义。</w:t>
      </w:r>
    </w:p>
    <w:p w14:paraId="73CB9A4E">
      <w:pPr>
        <w:snapToGrid w:val="0"/>
        <w:spacing w:line="360" w:lineRule="auto"/>
        <w:ind w:firstLine="560" w:firstLineChars="200"/>
        <w:rPr>
          <w:rFonts w:ascii="Times New Roman" w:hAnsi="Times New Roman" w:cs="Times New Roman"/>
          <w:kern w:val="0"/>
          <w:sz w:val="28"/>
          <w:szCs w:val="28"/>
          <w:highlight w:val="yellow"/>
        </w:rPr>
      </w:pPr>
      <w:r>
        <w:rPr>
          <w:rFonts w:hint="eastAsia" w:ascii="Times New Roman" w:hAnsi="Times New Roman" w:cs="Times New Roman"/>
          <w:kern w:val="0"/>
          <w:sz w:val="28"/>
          <w:szCs w:val="28"/>
        </w:rPr>
        <w:t>《皮鞋专卖店导购服务规范》团体标准的制定，将为行业提供清晰的服务标准和操作指南，促进导购服务的专业化、规范化。通过明确接待礼仪、产品介绍、售后保障等关键环节的要求，有助于提升导购人员的服务能力和职业素养，增强消费者信任感。同时，该标准可推动行业良性竞争，引导企业以优质服务赢得市场，提升品牌竞争力。此外，统一的服务规范能减少消费纠纷，提高顾客满意度，进而促进皮鞋零售行业的健康发展。从长远来看，该标准的实施还将助力行业树立良好的服务形象，推动消费市场的高质量发展。</w:t>
      </w:r>
    </w:p>
    <w:p w14:paraId="64EB91D4">
      <w:pPr>
        <w:spacing w:line="360" w:lineRule="auto"/>
        <w:outlineLvl w:val="2"/>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（二）编制过程</w:t>
      </w:r>
    </w:p>
    <w:p w14:paraId="3C4656A5">
      <w:pPr>
        <w:snapToGrid w:val="0"/>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为使本标准在</w:t>
      </w:r>
      <w:r>
        <w:rPr>
          <w:rFonts w:hint="eastAsia" w:ascii="Times New Roman" w:hAnsi="Times New Roman" w:cs="Times New Roman"/>
          <w:kern w:val="0"/>
          <w:sz w:val="28"/>
          <w:szCs w:val="28"/>
        </w:rPr>
        <w:t>皮鞋专卖店导购服务</w:t>
      </w:r>
      <w:r>
        <w:rPr>
          <w:rFonts w:ascii="Times New Roman" w:hAnsi="Times New Roman" w:cs="Times New Roman"/>
          <w:kern w:val="0"/>
          <w:sz w:val="28"/>
          <w:szCs w:val="28"/>
        </w:rPr>
        <w:t>市场管理工作中起到规范信息化管理作用，标准起草工作组力求科学性、可操作性，以科学、谨慎的态度，在对我国现有</w:t>
      </w:r>
      <w:r>
        <w:rPr>
          <w:rFonts w:hint="eastAsia" w:ascii="Times New Roman" w:hAnsi="Times New Roman" w:cs="Times New Roman"/>
          <w:kern w:val="0"/>
          <w:sz w:val="28"/>
          <w:szCs w:val="28"/>
        </w:rPr>
        <w:t>皮鞋专卖店导购服务</w:t>
      </w:r>
      <w:r>
        <w:rPr>
          <w:rFonts w:ascii="Times New Roman" w:hAnsi="Times New Roman" w:cs="Times New Roman"/>
          <w:kern w:val="0"/>
          <w:sz w:val="28"/>
          <w:szCs w:val="28"/>
        </w:rPr>
        <w:t>市场相关管理服务体系文件、模式基础上，经过综合分析、充分验证资料、反复讨论研究和修改，最终确定了本标准的主要内容。</w:t>
      </w:r>
    </w:p>
    <w:p w14:paraId="7176CF9B">
      <w:pPr>
        <w:snapToGrid w:val="0"/>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标准起草工作组在标准起草期间主要开展工作情况如下</w:t>
      </w:r>
      <w:r>
        <w:rPr>
          <w:rFonts w:hint="eastAsia" w:ascii="Times New Roman" w:hAnsi="Times New Roman" w:cs="Times New Roman"/>
          <w:kern w:val="0"/>
          <w:sz w:val="28"/>
          <w:szCs w:val="28"/>
        </w:rPr>
        <w:t>：</w:t>
      </w:r>
    </w:p>
    <w:p w14:paraId="76075B13">
      <w:pPr>
        <w:snapToGrid w:val="0"/>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1、项目立项及理论研究阶段</w:t>
      </w:r>
    </w:p>
    <w:p w14:paraId="133DEC27">
      <w:pPr>
        <w:snapToGrid w:val="0"/>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标准起草组成立伊始就对国内外</w:t>
      </w:r>
      <w:r>
        <w:rPr>
          <w:rFonts w:hint="eastAsia" w:ascii="Times New Roman" w:hAnsi="Times New Roman" w:cs="Times New Roman"/>
          <w:kern w:val="0"/>
          <w:sz w:val="28"/>
          <w:szCs w:val="28"/>
        </w:rPr>
        <w:t>皮鞋专卖店导购服务</w:t>
      </w:r>
      <w:r>
        <w:rPr>
          <w:rFonts w:ascii="Times New Roman" w:hAnsi="Times New Roman" w:cs="Times New Roman"/>
          <w:kern w:val="0"/>
          <w:sz w:val="28"/>
          <w:szCs w:val="28"/>
        </w:rPr>
        <w:t>相关情况进行了深入的调查研究，同时广泛搜集相关标准和国外技术资料，进行了大量的研究分析、资料查证工作，确定了</w:t>
      </w:r>
      <w:r>
        <w:rPr>
          <w:rFonts w:hint="eastAsia" w:ascii="Times New Roman" w:hAnsi="Times New Roman" w:cs="Times New Roman"/>
          <w:kern w:val="0"/>
          <w:sz w:val="28"/>
          <w:szCs w:val="28"/>
        </w:rPr>
        <w:t>皮鞋专卖店导购服务</w:t>
      </w:r>
      <w:r>
        <w:rPr>
          <w:rFonts w:ascii="Times New Roman" w:hAnsi="Times New Roman" w:cs="Times New Roman"/>
          <w:kern w:val="0"/>
          <w:sz w:val="28"/>
          <w:szCs w:val="28"/>
        </w:rPr>
        <w:t>市场标准化管理中现存问题，结合现有产品实际应用经验，为标准起草奠定了基础。</w:t>
      </w:r>
    </w:p>
    <w:p w14:paraId="49995E92">
      <w:pPr>
        <w:snapToGrid w:val="0"/>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标准起草组进一步研究了</w:t>
      </w:r>
      <w:r>
        <w:rPr>
          <w:rFonts w:hint="eastAsia" w:ascii="Times New Roman" w:hAnsi="Times New Roman" w:cs="Times New Roman"/>
          <w:kern w:val="0"/>
          <w:sz w:val="28"/>
          <w:szCs w:val="28"/>
        </w:rPr>
        <w:t>皮鞋专卖店导购服务</w:t>
      </w:r>
      <w:r>
        <w:rPr>
          <w:rFonts w:ascii="Times New Roman" w:hAnsi="Times New Roman" w:cs="Times New Roman"/>
          <w:kern w:val="0"/>
          <w:sz w:val="28"/>
          <w:szCs w:val="28"/>
        </w:rPr>
        <w:t>需要具备的特殊条件，明确了技术要求和指标，为标准的具体起草指明了方向。</w:t>
      </w:r>
    </w:p>
    <w:p w14:paraId="1BCDEF0B">
      <w:pPr>
        <w:snapToGrid w:val="0"/>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2、标准起草阶段</w:t>
      </w:r>
    </w:p>
    <w:p w14:paraId="465830F8">
      <w:pPr>
        <w:snapToGrid w:val="0"/>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在理论研究基础上，起草组在标准编制过程中充分借鉴已有的理论研究和实践成果，基于我国市场行情，经过数次修订，形成了《</w:t>
      </w:r>
      <w:r>
        <w:rPr>
          <w:rFonts w:hint="eastAsia" w:ascii="Times New Roman" w:hAnsi="Times New Roman" w:cs="Times New Roman"/>
          <w:kern w:val="0"/>
          <w:sz w:val="28"/>
          <w:szCs w:val="28"/>
        </w:rPr>
        <w:t>皮鞋专卖店导购服务规范</w:t>
      </w:r>
      <w:r>
        <w:rPr>
          <w:rFonts w:ascii="Times New Roman" w:hAnsi="Times New Roman" w:cs="Times New Roman"/>
          <w:kern w:val="0"/>
          <w:sz w:val="28"/>
          <w:szCs w:val="28"/>
        </w:rPr>
        <w:t>》标准草案。</w:t>
      </w:r>
    </w:p>
    <w:p w14:paraId="405B67DF">
      <w:pPr>
        <w:snapToGrid w:val="0"/>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3、标准征求意见阶段</w:t>
      </w:r>
    </w:p>
    <w:p w14:paraId="0DAC9E52">
      <w:pPr>
        <w:snapToGrid w:val="0"/>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形成标准草案之后，起草组召开了多次专家研讨会，从标准框架、标准起草等角度广泛征求多方意见，从理论完善和实践应用多方面提升标准的适用性和实用性。经过理论研究和方法验证，起草组形成了《</w:t>
      </w:r>
      <w:r>
        <w:rPr>
          <w:rFonts w:hint="eastAsia" w:ascii="Times New Roman" w:hAnsi="Times New Roman" w:cs="Times New Roman"/>
          <w:kern w:val="0"/>
          <w:sz w:val="28"/>
          <w:szCs w:val="28"/>
        </w:rPr>
        <w:t>皮鞋专卖店导购服务规范</w:t>
      </w:r>
      <w:r>
        <w:rPr>
          <w:rFonts w:ascii="Times New Roman" w:hAnsi="Times New Roman" w:cs="Times New Roman"/>
          <w:kern w:val="0"/>
          <w:sz w:val="28"/>
          <w:szCs w:val="28"/>
        </w:rPr>
        <w:t>》（征求意见稿）。</w:t>
      </w:r>
    </w:p>
    <w:p w14:paraId="32426E21">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（三）主要起草单位及起草人所做的工作</w:t>
      </w:r>
    </w:p>
    <w:p w14:paraId="3987C6A0">
      <w:pPr>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1、主要起草单位</w:t>
      </w:r>
    </w:p>
    <w:p w14:paraId="28DBAB6A">
      <w:pPr>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协会</w:t>
      </w:r>
      <w:r>
        <w:rPr>
          <w:rFonts w:hint="eastAsia" w:ascii="Times New Roman" w:hAnsi="Times New Roman" w:cs="Times New Roman"/>
          <w:kern w:val="0"/>
          <w:sz w:val="28"/>
          <w:szCs w:val="28"/>
        </w:rPr>
        <w:t>、企业</w:t>
      </w:r>
      <w:r>
        <w:rPr>
          <w:rFonts w:ascii="Times New Roman" w:hAnsi="Times New Roman" w:cs="Times New Roman"/>
          <w:kern w:val="0"/>
          <w:sz w:val="28"/>
          <w:szCs w:val="28"/>
        </w:rPr>
        <w:t>等多家单位的专家成立了规范起草小组，开展标准的编制工作。</w:t>
      </w:r>
    </w:p>
    <w:p w14:paraId="0E4BB955">
      <w:pPr>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经工作组的不懈努力，在202</w:t>
      </w:r>
      <w:r>
        <w:rPr>
          <w:rFonts w:hint="eastAsia" w:ascii="Times New Roman" w:hAnsi="Times New Roman" w:cs="Times New Roman"/>
          <w:kern w:val="0"/>
          <w:sz w:val="28"/>
          <w:szCs w:val="28"/>
        </w:rPr>
        <w:t>5</w:t>
      </w:r>
      <w:r>
        <w:rPr>
          <w:rFonts w:ascii="Times New Roman" w:hAnsi="Times New Roman" w:cs="Times New Roman"/>
          <w:kern w:val="0"/>
          <w:sz w:val="28"/>
          <w:szCs w:val="28"/>
        </w:rPr>
        <w:t>年</w:t>
      </w:r>
      <w:r>
        <w:rPr>
          <w:rFonts w:hint="eastAsia" w:ascii="Times New Roman" w:hAnsi="Times New Roman" w:cs="Times New Roman"/>
          <w:kern w:val="0"/>
          <w:sz w:val="28"/>
          <w:szCs w:val="28"/>
          <w:lang w:val="en-US" w:eastAsia="zh-CN"/>
        </w:rPr>
        <w:t>11</w:t>
      </w:r>
      <w:bookmarkStart w:id="11" w:name="_GoBack"/>
      <w:bookmarkEnd w:id="11"/>
      <w:r>
        <w:rPr>
          <w:rFonts w:ascii="Times New Roman" w:hAnsi="Times New Roman" w:cs="Times New Roman"/>
          <w:kern w:val="0"/>
          <w:sz w:val="28"/>
          <w:szCs w:val="28"/>
        </w:rPr>
        <w:t>月，完成了标准征求意见稿的编写工作。</w:t>
      </w:r>
    </w:p>
    <w:p w14:paraId="0A11B1B9">
      <w:pPr>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2、起草人所做工作</w:t>
      </w:r>
    </w:p>
    <w:p w14:paraId="63DBB064">
      <w:pPr>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广泛收集相关资料。在广泛调研、查阅和研究国际标准、国家标准、行业标准的基础之上，形成本标准草案稿。</w:t>
      </w:r>
    </w:p>
    <w:p w14:paraId="7E0AD047">
      <w:pPr>
        <w:spacing w:line="360" w:lineRule="auto"/>
        <w:outlineLvl w:val="0"/>
        <w:rPr>
          <w:rFonts w:ascii="Times New Roman" w:hAnsi="Times New Roman" w:eastAsia="黑体" w:cs="Times New Roman"/>
          <w:b/>
          <w:sz w:val="30"/>
          <w:szCs w:val="30"/>
        </w:rPr>
      </w:pPr>
      <w:bookmarkStart w:id="1" w:name="_Toc16067"/>
      <w:r>
        <w:rPr>
          <w:rFonts w:ascii="Times New Roman" w:hAnsi="Times New Roman" w:eastAsia="黑体" w:cs="Times New Roman"/>
          <w:b/>
          <w:sz w:val="30"/>
          <w:szCs w:val="30"/>
        </w:rPr>
        <w:t>二、标准编制原则和主要内容</w:t>
      </w:r>
      <w:bookmarkEnd w:id="1"/>
    </w:p>
    <w:p w14:paraId="7FE53FD5">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（一）标准编制原则</w:t>
      </w:r>
    </w:p>
    <w:p w14:paraId="18CEBAF4">
      <w:pPr>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本标准依据相关行业标准，标准编制遵循“前瞻性、实用性、统一性、规范性”的原则，注重标准的可操作性，本标准严格按照《标准化工作指南》和GB/T 1.1《标准化工作导则 第一部分：标准的结构和编写》的要求进行编制。标准文本的编排采用中国标准编写模板TCS 2009版进行排版，确保标准文本的规范性。</w:t>
      </w:r>
    </w:p>
    <w:p w14:paraId="4DE6DDC2">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（二）标准主要技术内容</w:t>
      </w:r>
    </w:p>
    <w:p w14:paraId="2CD64161">
      <w:pPr>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本标准报批稿包括</w:t>
      </w:r>
      <w:r>
        <w:rPr>
          <w:rFonts w:hint="eastAsia" w:ascii="Times New Roman" w:hAnsi="Times New Roman" w:cs="Times New Roman"/>
          <w:sz w:val="28"/>
          <w:szCs w:val="28"/>
        </w:rPr>
        <w:t>8</w:t>
      </w:r>
      <w:r>
        <w:rPr>
          <w:rFonts w:ascii="Times New Roman" w:hAnsi="Times New Roman" w:cs="Times New Roman"/>
          <w:sz w:val="28"/>
          <w:szCs w:val="28"/>
        </w:rPr>
        <w:t>个部分，主要内容如下：</w:t>
      </w:r>
    </w:p>
    <w:p w14:paraId="36356F7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1　范围</w:t>
      </w:r>
    </w:p>
    <w:p w14:paraId="3B028532">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本文件规定了皮鞋专卖店导购服务的术语和定义、基本要求、商品知识、服务流程、需求分析、售后服务。</w:t>
      </w:r>
    </w:p>
    <w:p w14:paraId="6ABC9BE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本文件适用于皮鞋专卖店导购服务。</w:t>
      </w:r>
    </w:p>
    <w:p w14:paraId="60B553A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2　规范性引用文件</w:t>
      </w:r>
    </w:p>
    <w:p w14:paraId="275798C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本文件没有规范性引用文件。</w:t>
      </w:r>
    </w:p>
    <w:p w14:paraId="668D7D22">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3　术语和定义</w:t>
      </w:r>
    </w:p>
    <w:p w14:paraId="5D0675F0">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下列术语和定义适用于本文件。</w:t>
      </w:r>
    </w:p>
    <w:p w14:paraId="5BE76A4D">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3.1　</w:t>
      </w:r>
    </w:p>
    <w:p w14:paraId="57E5FE50">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导购 sales associate</w:t>
      </w:r>
    </w:p>
    <w:p w14:paraId="2D5A23F2">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在零售终端环境中，以为顾客提供专业化、顾问式服务为核心职责的岗位人员。其角色超越传统售货员，立足于顾客利益，通过运用产品知识、消费心理分析及销售技巧，为顾客提供选购建议、问题解答和售后支持，旨在帮助顾客做出最佳购物选择，建立品牌忠诚度，并最终实现销售目标。</w:t>
      </w:r>
    </w:p>
    <w:p w14:paraId="7621CF6E">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3.2　</w:t>
      </w:r>
    </w:p>
    <w:p w14:paraId="0A1FAAF9">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三包 three guarantees policy</w:t>
      </w:r>
    </w:p>
    <w:p w14:paraId="7BEEB73E">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皮鞋专卖店对其售出的合格商品，按国家相关产品质量法规和消费者权益保护规定，所承担的包修、包换、包退的责任和义务的统称。</w:t>
      </w:r>
    </w:p>
    <w:p w14:paraId="0FF8CCD9">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　基本要求</w:t>
      </w:r>
    </w:p>
    <w:p w14:paraId="56D7561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4.1　仪容仪表</w:t>
      </w:r>
    </w:p>
    <w:p w14:paraId="1E0F2945">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4.1.1　着装要求</w:t>
      </w:r>
    </w:p>
    <w:p w14:paraId="46AEFF4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4.1.1.1　导购人员在岗期间应穿着企业统一配发的工装，保持服装平整洁净且无破损褪色现象。</w:t>
      </w:r>
    </w:p>
    <w:p w14:paraId="42841E02">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4.1.1.2　工号牌应佩戴于左胸显眼位置，标识文字清晰可辨且不应被衣物遮挡或歪斜悬挂。</w:t>
      </w:r>
    </w:p>
    <w:p w14:paraId="61801D0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4.1.1.3　搭配的鞋履宜为深色系皮鞋，每日上岗前应擦拭保养，不应穿着休闲运动鞋或露趾凉鞋。</w:t>
      </w:r>
    </w:p>
    <w:p w14:paraId="0AE74BE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4.1.2　发式妆容</w:t>
      </w:r>
    </w:p>
    <w:p w14:paraId="665777A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4.1.2.1　发型应保持干爽整齐，长发者应将头发束成发髻或马尾，避免碎发遮挡视线或接触商品。</w:t>
      </w:r>
    </w:p>
    <w:p w14:paraId="4496AF0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4.1.2.2　面部妆容宜淡雅自然，眼妆唇色不应夸张艳丽，香水气味应以清新淡香为限避免浓烈刺激。</w:t>
      </w:r>
    </w:p>
    <w:p w14:paraId="63C5FD4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4.1.2.3　男性应每日剃须修面，保持下颌及颈部无胡茬残留，体现专业整洁的职业形象。</w:t>
      </w:r>
    </w:p>
    <w:p w14:paraId="3D9192A9">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4.1.3　肢体细节</w:t>
      </w:r>
    </w:p>
    <w:p w14:paraId="14B4346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4.1.3.1　双手指甲应修剪至不超过指尖2 mm，甲面保持本色洁净，不应装饰亮片或彩绘图案。</w:t>
      </w:r>
    </w:p>
    <w:p w14:paraId="604A8F62">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4.1.3.2　工作期间除婚戒外不应佩戴醒目首饰，腕表表盘直径不宜超过3 cm且避免镶钻装饰。</w:t>
      </w:r>
    </w:p>
    <w:p w14:paraId="276B7F2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4.2　服务礼仪</w:t>
      </w:r>
    </w:p>
    <w:p w14:paraId="61F9481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4.2.1　语言要求</w:t>
      </w:r>
    </w:p>
    <w:p w14:paraId="334E92A9">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4.2.1.1　服务全程应使用标准普通话交流，吐字清晰音量适中，确保3 m内顾客可听清对话内容。</w:t>
      </w:r>
    </w:p>
    <w:p w14:paraId="685D391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4.2.1.2　宜根据顾客年龄使用“先生/女士”等尊称，每句服务用语应包含“请”“谢谢”等敬语元素。</w:t>
      </w:r>
    </w:p>
    <w:p w14:paraId="5B64A73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4.2.1.3　不应使用方言俚语、网络流行语或带有地域歧视、性别歧视性质的表述方式。</w:t>
      </w:r>
    </w:p>
    <w:p w14:paraId="3F708E40">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4.2.2　体态要求</w:t>
      </w:r>
    </w:p>
    <w:p w14:paraId="5C0E04D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4.2.2.1　站立服务时应保持背部挺直双肩放松，双手自然交叠置于腹前或垂放裤缝两侧。</w:t>
      </w:r>
    </w:p>
    <w:p w14:paraId="20DC92E9">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4.2.2.2　引导顾客行进时应走在右前方1.5 m处，掌心向上五指并拢指示方向并配合目光交流。</w:t>
      </w:r>
    </w:p>
    <w:p w14:paraId="48FCB03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4.2.2.3　递交鞋盒、票据等物品应双手奉上，盒盖标签朝向顾客便于查看商品信息。</w:t>
      </w:r>
    </w:p>
    <w:p w14:paraId="2100F0F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4.3　行为规范</w:t>
      </w:r>
    </w:p>
    <w:p w14:paraId="3C291C6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4.3.1　岗位纪律</w:t>
      </w:r>
    </w:p>
    <w:p w14:paraId="1033921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4.3.1.1　非轮休时间不应擅离服务区域，遇特殊情况离岗应经值班经理批准并限时10 min内返回。</w:t>
      </w:r>
    </w:p>
    <w:p w14:paraId="2578E4D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4.3.1.2　不应在营业现场操作私人手机，紧急通话应至员工休息区处理且单次不应超过3 min。</w:t>
      </w:r>
    </w:p>
    <w:p w14:paraId="29F0979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4.3.1.3　货架补货、卫生清洁等操作应安排在开店前或闭店后完成，避免在顾客视线范围内进行。</w:t>
      </w:r>
    </w:p>
    <w:p w14:paraId="0DF4B3F5">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4.3.2　服务态度</w:t>
      </w:r>
    </w:p>
    <w:p w14:paraId="7FA87CA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4.3.2.1　顾客进店3 s内应微笑注视对方，5 s内主动问候“欢迎光临”并表达服务意愿。</w:t>
      </w:r>
    </w:p>
    <w:p w14:paraId="7DC29A15">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4.3.2.2　接待过程中应全程保持耐心，面对顾客反复询问应详细解答且不应显露蹙眉、叹气等微表情。</w:t>
      </w:r>
    </w:p>
    <w:p w14:paraId="2D9E173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4.3.2.3　处理顾客异议时应先倾听完整诉求，回应时声调平稳不应提高音量或出现打断行为。</w:t>
      </w:r>
    </w:p>
    <w:p w14:paraId="24EE192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4.3.3　服务时效</w:t>
      </w:r>
    </w:p>
    <w:p w14:paraId="5D4814D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4.3.3.1　顾客提出试穿需求后30 s内需提供对应货品，调取库存操作原则上不超过180 s。</w:t>
      </w:r>
    </w:p>
    <w:p w14:paraId="3155030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4.3.3.2　收银环节从扫码到出具小票应在5 min内完成，信用卡签名核对应主动提示注意事项。</w:t>
      </w:r>
    </w:p>
    <w:p w14:paraId="25620BD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4.4　安全要求</w:t>
      </w:r>
    </w:p>
    <w:p w14:paraId="3D6D3150">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4.4.1　现场安全</w:t>
      </w:r>
    </w:p>
    <w:p w14:paraId="2109ADB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4.4.1.1　高处取货应使用带防滑垫的A字梯，不应脚踩货架层板或柜台边缘攀爬操作。</w:t>
      </w:r>
    </w:p>
    <w:p w14:paraId="0B5A35A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4.4.1.2　试穿区应随时清理地面鞋盒、包装带等杂物，每30 min巡查一次防滑垫平整度。</w:t>
      </w:r>
    </w:p>
    <w:p w14:paraId="1EC8F7ED">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4.4.2　应急响应</w:t>
      </w:r>
    </w:p>
    <w:p w14:paraId="1EDBF1AD">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4.4.2.1　发现地面积水、电路裸露等隐患应立即设置“小心地滑”三角牌并上报店长处置。</w:t>
      </w:r>
    </w:p>
    <w:p w14:paraId="76D344A0">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4.4.2.2　遇顾客突发晕厥等状况应10 s内启动应急预案，同步疏散人群并呼叫医疗援助。</w:t>
      </w:r>
    </w:p>
    <w:p w14:paraId="21FC929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4.5　职业素养</w:t>
      </w:r>
    </w:p>
    <w:p w14:paraId="71910E1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4.5.1　专业提升</w:t>
      </w:r>
    </w:p>
    <w:p w14:paraId="64D7452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4.5.1.1　每月宜参加不少于4课时的皮鞋工艺培训，熟练掌握牛皮、羊皮等材质的鉴别特征。</w:t>
      </w:r>
    </w:p>
    <w:p w14:paraId="3184C21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4.5.1.2　可自主订阅行业期刊了解潮流趋势，新型环保材料的特性及应用场景需及时更新知识库。</w:t>
      </w:r>
    </w:p>
    <w:p w14:paraId="4D1776F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4.5.2　诚信准则</w:t>
      </w:r>
    </w:p>
    <w:p w14:paraId="183B2CC2">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4.5.2.1　介绍商品时应明确说明皮革种类、固色工艺等核心参数。</w:t>
      </w:r>
    </w:p>
    <w:p w14:paraId="3130D835">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4.5.2.2　促销活动应明示参与条件，价签应包含原价与现价对比，不应虚构折扣幅度。</w:t>
      </w:r>
    </w:p>
    <w:p w14:paraId="39E338E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4.5.3　隐私保护</w:t>
      </w:r>
    </w:p>
    <w:p w14:paraId="5D0AD2F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4.5.3.1　顾客会员信息仅限用于积分兑换及售后跟踪，不应向第三方泄露联系方式及消费记录。</w:t>
      </w:r>
    </w:p>
    <w:p w14:paraId="034CB19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4.5.3.2　协助试穿时应先敲门询问，顾客未主动要求不应进入试衣间或触碰顾客脚踝以上部位。</w:t>
      </w:r>
    </w:p>
    <w:p w14:paraId="3045AF7E">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4.6　团队协作</w:t>
      </w:r>
    </w:p>
    <w:p w14:paraId="7C6A531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4.6.1　当同事接待多位顾客时，应主动分担量脚、取鞋等工作，避免顾客等待超过120 s。</w:t>
      </w:r>
    </w:p>
    <w:p w14:paraId="16033DF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4.6.2　交接班应书面记录未完成的定制订单、预约保养等事项，重点客户偏好应口头复述确认。</w:t>
      </w:r>
    </w:p>
    <w:p w14:paraId="156C78F5">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　商品知识</w:t>
      </w:r>
    </w:p>
    <w:p w14:paraId="7D691522">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5.1　材质鉴别</w:t>
      </w:r>
    </w:p>
    <w:p w14:paraId="435CBA2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5.1.1　导购人员应熟练掌握天然皮革与人造革的鉴别方法，能够通过观察毛孔分布、触摸手感及闻气味等方式准确区分材质类别。</w:t>
      </w:r>
    </w:p>
    <w:p w14:paraId="575E4D4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5.1.2　介绍牛皮材质时应说明其纹理细腻、弹性良好的特性，羊皮材质应强调柔软舒适的特点，猪皮材质应客观说明毛孔特征及耐用性表现。</w:t>
      </w:r>
    </w:p>
    <w:p w14:paraId="57C8425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5.1.3　对于漆皮、磨砂皮、摔纹皮等特殊工艺皮革，应准确描述表面处理工艺带来的视觉效果及使用注意事项。</w:t>
      </w:r>
    </w:p>
    <w:p w14:paraId="38A6B6E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5.1.4　宜及时了解纺织面料、复合材质等新型鞋面材料的发展趋势，掌握主流环保材料的特性及保养要求。</w:t>
      </w:r>
    </w:p>
    <w:p w14:paraId="6EC2F8C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5.1.5　对于采用贴膜工艺、激光雕刻等新技术的产品，应准确说明技术原理带来的防泼水、透气性等性能改进。</w:t>
      </w:r>
    </w:p>
    <w:p w14:paraId="48CEF41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5.2　结构解析</w:t>
      </w:r>
    </w:p>
    <w:p w14:paraId="4676CB5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5.2.1　应完整掌握鞋帮、鞋底、辅件三大系统的组成部件，能够准确指认前帮围、鞋舌、外包跟等专业部位名称。</w:t>
      </w:r>
    </w:p>
    <w:p w14:paraId="56633F7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5.2.2　介绍鞋底结构时应说明内底、中底、外底的功能差异，明确勾心支撑系统对维持鞋型稳定性的重要作用。</w:t>
      </w:r>
    </w:p>
    <w:p w14:paraId="38868BED">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5.2.3　宜根据胶粘、注塑、缝制等不同工艺特点，向顾客说明各种工艺的耐久性差异及适用场景。</w:t>
      </w:r>
    </w:p>
    <w:p w14:paraId="1CB2D8D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5.2.4　对于手工缝线、固特异沿条等特殊工艺，应准确解释其工艺价值及带来的穿着体验提升。</w:t>
      </w:r>
    </w:p>
    <w:p w14:paraId="14349BF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5.3　功能特性</w:t>
      </w:r>
    </w:p>
    <w:p w14:paraId="4150755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5.3.1　应依据不同鞋款的内部空间设计、鞋垫材质及足弓支撑结构，客观分析产品的舒适性特征。</w:t>
      </w:r>
    </w:p>
    <w:p w14:paraId="46B1D12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5.3.2　介绍缓震技术时应准确说明气垫、凝胶垫等不同缓震材料的工作原理及适用人群差异。</w:t>
      </w:r>
    </w:p>
    <w:p w14:paraId="2EB0F95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5.3.3　对于防滑、防穿刺、防水等功能性产品，应通过现场演示等方式验证功能有效性。</w:t>
      </w:r>
    </w:p>
    <w:p w14:paraId="565A5F5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5.3.4　宜定期参加功能测试培训，掌握最新国家标准对安全防护指标的要求及检测方法。</w:t>
      </w:r>
    </w:p>
    <w:p w14:paraId="64085330">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5.4　尺码体系</w:t>
      </w:r>
    </w:p>
    <w:p w14:paraId="2E6C365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5.4.1　应熟练运用毫米制鞋号与码数换算公式，能够快速准确完成不同国家鞋码的对照查询。</w:t>
      </w:r>
    </w:p>
    <w:p w14:paraId="086CD87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5.4.2　为顾客提供尺码建议时应综合考虑鞋型肥瘦、材质延展性及穿着习惯等因素的影响。</w:t>
      </w:r>
    </w:p>
    <w:p w14:paraId="52B9C7B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5.4.3　宜使用专业量脚器测量顾客足长足围，测量时间应选择下午或傍晚时段以获取准确数据。</w:t>
      </w:r>
    </w:p>
    <w:p w14:paraId="3C2F99F0">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5.4.4　对于特殊脚型顾客应提供定制化建议，包括鞋垫调整、鞋带系法等改善穿着体验的方案。</w:t>
      </w:r>
    </w:p>
    <w:p w14:paraId="0931599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5.5　保养知识</w:t>
      </w:r>
    </w:p>
    <w:p w14:paraId="4546C1AF">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5.5.1　应针对不同材质推荐专用护理产品，演示鞋油涂抹、抛光等标准保养流程。</w:t>
      </w:r>
    </w:p>
    <w:p w14:paraId="46812985">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5.5.2　宜定期更新皮革护理知识库，掌握新型环保护理产品的成分特点及使用效果。</w:t>
      </w:r>
    </w:p>
    <w:p w14:paraId="6422B01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5.5.3　应指导顾客采用立体支撑、防尘密封等方式进行换季储藏，说明温度湿度对皮革保存的影响。</w:t>
      </w:r>
    </w:p>
    <w:p w14:paraId="21C9C429">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5.5.4　对于反绒皮、磨砂皮等特殊材质，应详细演示清洁刷、护理喷雾等工具的使用技巧。</w:t>
      </w:r>
    </w:p>
    <w:p w14:paraId="54772B0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5.6　新品认知</w:t>
      </w:r>
    </w:p>
    <w:p w14:paraId="7ABA1549">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5.6.1　应于新品上市前完成产品知识培训，掌握每季主推系列的设计理念、材质升级及技术改进要点。</w:t>
      </w:r>
    </w:p>
    <w:p w14:paraId="4FCF93BF">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5.6.2　宜通过虚拟现实等培训工具直观了解新品的生产工艺流程，增强产品解说时的专业说服力。</w:t>
      </w:r>
    </w:p>
    <w:p w14:paraId="6963D489">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5.6.3　应运用FABE法则将产品特性转化为顾客利益，准确传达设计细节带来的实际使用价值。</w:t>
      </w:r>
    </w:p>
    <w:p w14:paraId="35DD76E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5.6.4　可建立产品知识共享平台，及时收录销售过程中遇到的典型问题及专业解答方案。</w:t>
      </w:r>
    </w:p>
    <w:p w14:paraId="0C27E579">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5.7　质检标准</w:t>
      </w:r>
    </w:p>
    <w:p w14:paraId="719B0D19">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5.7.1　应掌握国家鞋类三包规定中的质量判定标准，能够准确识别开胶、断底等常见质量问题。</w:t>
      </w:r>
    </w:p>
    <w:p w14:paraId="6452767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5.7.2　在售前检查中发现瑕疵品应立即下架处理，不应向顾客销售存在质量缺陷的商品。</w:t>
      </w:r>
    </w:p>
    <w:p w14:paraId="4A985D5F">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5.7.3　宜定期参观生产基地，了解现代化制鞋工艺流程，建立对缝线密度、胶合强度等工艺参数的直观认知。</w:t>
      </w:r>
    </w:p>
    <w:p w14:paraId="5242D5AF">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5.7.4　可参与质量抽检实践，掌握针距均匀度、对称性等细节指标的检验方法。</w:t>
      </w:r>
    </w:p>
    <w:p w14:paraId="690C820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5.8　搭配知识</w:t>
      </w:r>
    </w:p>
    <w:p w14:paraId="1FE600A5">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5.8.1　应学习基础色彩搭配原理，能够根据顾客着装风格推荐相匹配的鞋款颜色及造型。</w:t>
      </w:r>
    </w:p>
    <w:p w14:paraId="55B37E3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5.8.2　宜研究不同场合的着装规范，提供商务、休闲、庆典等场景的鞋履选择建议。</w:t>
      </w:r>
    </w:p>
    <w:p w14:paraId="61FD5692">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5.8.3　可订阅权威时尚刊物，及时掌握国际秀场流行的鞋款设计元素及搭配方式。</w:t>
      </w:r>
    </w:p>
    <w:p w14:paraId="4EEF1C65">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5.8.4　应定期分析销售数据，总结当地市场对不同风格产品的接受度及流行趋势变化。</w:t>
      </w:r>
    </w:p>
    <w:p w14:paraId="4621241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5.9　知识管理</w:t>
      </w:r>
    </w:p>
    <w:p w14:paraId="007322B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5.9.1　应建立分级知识考核制度，新入职导购应通过基础材质识别考核后方可上岗服务。</w:t>
      </w:r>
    </w:p>
    <w:p w14:paraId="5C07601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5.9.2　宜每季度组织商品知识竞赛，对优秀者给予资质认证及岗位晋升优先考虑。</w:t>
      </w:r>
    </w:p>
    <w:p w14:paraId="21FECA4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5.9.3　应指定专人负责产品知识库更新，确保技术参数、保养方法等信息的准确性与时效性。</w:t>
      </w:r>
    </w:p>
    <w:p w14:paraId="46A3866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5.9.4　可建立顾客常见问题知识图谱，针对不同知识水平的顾客提供差异化的解说方案。</w:t>
      </w:r>
    </w:p>
    <w:p w14:paraId="0A68BBA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　服务流程</w:t>
      </w:r>
    </w:p>
    <w:p w14:paraId="6EF37DAF">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6.1　迎宾接待</w:t>
      </w:r>
    </w:p>
    <w:p w14:paraId="0E298D20">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6.1.1　顾客进店3 s内应作出反应，5 s内应完成问候流程。站立位置应距店门1.5 m~2 m处，保持微笑并目光接触。问候语应包含品牌名称及欢迎词，语调应亲切自然。</w:t>
      </w:r>
    </w:p>
    <w:p w14:paraId="6B17C37D">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6.1.2　阴雨天气应主动提供雨具收纳服务，携带重物的顾客应协助安置物品。对老年顾客及特殊群体应适当延长问候时间，必要时可换扶入店。</w:t>
      </w:r>
    </w:p>
    <w:p w14:paraId="09B37B7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6.2　需求探测</w:t>
      </w:r>
    </w:p>
    <w:p w14:paraId="45942AD2">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6.2.1　应采用开放式提问了解顾客购买意向，观察顾客着装风格及年龄特征预判需求。交谈过程中应注意倾听重点，及时捕捉顾客关注的商品特性。</w:t>
      </w:r>
    </w:p>
    <w:p w14:paraId="603B82A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6.2.2　对于明确购买目标的顾客应直接引导至目标区域，犹豫型顾客应通过产品画册或电子终端进行初步推荐。群体顾客应识别决策者并重点沟通。</w:t>
      </w:r>
    </w:p>
    <w:p w14:paraId="6610C5C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6.3　商品推介</w:t>
      </w:r>
    </w:p>
    <w:p w14:paraId="2C80D74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6.3.1　应根据需求分析结果推荐三款以内候选商品，依次说明各款特性优势。介绍顺序应遵循由主推款到备选款的逻辑，重点突出核心卖点。</w:t>
      </w:r>
    </w:p>
    <w:p w14:paraId="65CEE900">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6.3.2　讲解过程中应结合实物演示功能特性，如柔软度测试、防滑演示等。对于高档商品应佩戴白手套取放，保持商品完好无损。</w:t>
      </w:r>
    </w:p>
    <w:p w14:paraId="4DCD7FA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6.4　试穿服务</w:t>
      </w:r>
    </w:p>
    <w:p w14:paraId="5FA76E5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6.4.1　确认试穿需求后应在1 min内取送商品，拆盒前应向顾客展示包装完整性。提供试穿鞋套或袜子等卫生用品，每双试穿鞋使用后应立即消毒处理。</w:t>
      </w:r>
    </w:p>
    <w:p w14:paraId="35416B7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6.4.2　应协助顾客调节鞋带松紧，提示试走感受。试穿期间应留意顾客表情变化，适时询问舒适度感受。试穿镜周边应保持宽敞明亮，确保顾客能多角度查看效果。</w:t>
      </w:r>
    </w:p>
    <w:p w14:paraId="29C5200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6.5　异议处理</w:t>
      </w:r>
    </w:p>
    <w:p w14:paraId="0A6A9E4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6.5.1　遇到价格异议时应强调价值构成，通过材质工艺说明解释定价合理性。对于质量疑虑可出示检测报告或认证证书，必要时提供同款商品对比验证。</w:t>
      </w:r>
    </w:p>
    <w:p w14:paraId="37472605">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6.5.2　款式不满意时应及时调换替代商品，颜色缺货情况下可通过系统查询周边库存。所有回应均应保持专业态度，不应否定顾客审美偏好。</w:t>
      </w:r>
    </w:p>
    <w:p w14:paraId="3F8A5CF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6.6　成交促成</w:t>
      </w:r>
    </w:p>
    <w:p w14:paraId="3A1C5C3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6.6.1　察觉购买信号后应主动引导至收银区，途中可适当介绍售后政策。开单前应再次确认商品型号及尺码，特殊尺码应当面复核库存情况。</w:t>
      </w:r>
    </w:p>
    <w:p w14:paraId="6D09D16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6.6.2　应熟练操作各类支付方式，信用卡交易应提示签名规范。电子发票应即时发送至顾客邮箱，纸质凭证应妥善装订后递交。</w:t>
      </w:r>
    </w:p>
    <w:p w14:paraId="2CB3B4E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6.7　附加销售</w:t>
      </w:r>
    </w:p>
    <w:p w14:paraId="052F392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6.7.1　成交后应推荐配套护理产品，根据鞋款材质推荐专用鞋油鞋刷。促销活动应准确说明优惠规则，不应夸大宣传或隐瞒限制条件。</w:t>
      </w:r>
    </w:p>
    <w:p w14:paraId="7FB0CBC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6.7.2　会员发展应在结账环节同步进行，重点说明积分权益及会员特权。新品预告应根据顾客偏好定向推送，预留联系方式应获得明确授权。</w:t>
      </w:r>
    </w:p>
    <w:p w14:paraId="3C86BB75">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6.8　送客服务</w:t>
      </w:r>
    </w:p>
    <w:p w14:paraId="17D23E7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6.8.1　商品包装应采用统一提袋，重物应提供双手提握服务。送至店门时应致感谢词，阴雨天气应提示注意路面湿滑。</w:t>
      </w:r>
    </w:p>
    <w:p w14:paraId="77B30F3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6.8.2　应目送顾客离开3 m后方可返回，遗留物品应立即登记保管。特殊天气应为顾客召唤交通工具，必要时提供临时避雨设施。</w:t>
      </w:r>
    </w:p>
    <w:p w14:paraId="2B5C268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6.9　售后跟进</w:t>
      </w:r>
    </w:p>
    <w:p w14:paraId="093E9F4D">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6.9.1　销售完成后24 h内应发送保养提醒，三日后进行穿着感受回访。回访内容应包含舒适度询问及问题解决方案，所有回访应记录归档。</w:t>
      </w:r>
    </w:p>
    <w:p w14:paraId="4271FE6D">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6.9.2　顾客投诉应启动快速响应机制，一般问题应在2 h内初步回复。复杂问题不应超过24 h处理时限，升级流程应明确告知顾客进展。</w:t>
      </w:r>
    </w:p>
    <w:p w14:paraId="2A3A70F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6.10　客户维护</w:t>
      </w:r>
    </w:p>
    <w:p w14:paraId="1F0BA31F">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6.10.1　应建立顾客偏好档案，记录特殊脚型及款式偏好。新品到货应根据档案信息主动推送，个性化推荐应控制在每周一次频次内。</w:t>
      </w:r>
    </w:p>
    <w:p w14:paraId="1C7DA060">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6.10.2　会员生日应发送定制祝福，积分到期前应进行三次提醒。客户关系维护应遵循适度原则，不应造成信息骚扰。</w:t>
      </w:r>
    </w:p>
    <w:p w14:paraId="1A7E3AA0">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6.11　服务改进</w:t>
      </w:r>
    </w:p>
    <w:p w14:paraId="779BC4FE">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6.11.1　每月应分析服务流程数据，包括试穿转化率、客单价等关键指标。典型服务案例应组织专题研讨，成功经验应形成标准化模板推广。</w:t>
      </w:r>
    </w:p>
    <w:p w14:paraId="2DE13F4F">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6.11.2　宜每季度开展神秘顾客评估，评估结果与绩效考核挂钩。服务流程优化应参考顾客反馈，重大调整应先经过试点验证。</w:t>
      </w:r>
    </w:p>
    <w:p w14:paraId="3546771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6.12　应急处理</w:t>
      </w:r>
    </w:p>
    <w:p w14:paraId="6B5297F2">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6.12.1　现场纠纷应立即引导至独立区域处理，避免影响其他顾客。紧急情况应启动应急预案，优先保障人员安全再处理商品损失。</w:t>
      </w:r>
    </w:p>
    <w:p w14:paraId="5A9C17C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6.12.2　系统故障应启用备用手工单据，故障恢复后应及时补录数据。突发停电应提供应急照明，必要时暂停接待新顾客。</w:t>
      </w:r>
    </w:p>
    <w:p w14:paraId="3148E052">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6.13　质量评价</w:t>
      </w:r>
    </w:p>
    <w:p w14:paraId="53D2780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6.13.1　服务质量应实行多维评价体系，包含顾客评分、同事互评及主管评估。评价结果应每月公示，连续不合格者应安排再培训。</w:t>
      </w:r>
    </w:p>
    <w:p w14:paraId="4C52FD35">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6.13.2　宜建立服务创新激励机制，对流程优化建议给予物质奖励。优秀服务案例应纳入企业知识库，作为新员工培训教材。</w:t>
      </w:r>
    </w:p>
    <w:p w14:paraId="26C8A63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　需求分析</w:t>
      </w:r>
    </w:p>
    <w:p w14:paraId="7A9E0650">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7.1　顾客类型识别</w:t>
      </w:r>
    </w:p>
    <w:p w14:paraId="1B6525F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7.1.1　应根据顾客进店行为模式初步判断消费特征。目标明确型顾客应直接提供快速导引，浏览型顾客宜保持适度距离观察，咨询型顾客应主动提供专业解答。</w:t>
      </w:r>
    </w:p>
    <w:p w14:paraId="126D8A8F">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7.1.2　宜通过着装风格、随身物品等外部特征预判消费偏好。商务人士应重点推荐正装鞋款，休闲装扮顾客可多介绍舒适型产品，时尚人群应突出设计感元素。</w:t>
      </w:r>
    </w:p>
    <w:p w14:paraId="0F695B0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7.1.3　应关注顾客群体组合特征。家庭购物的决策者应重点沟通，情侣购物应平衡双方意见，团体购物应识别意见领袖。</w:t>
      </w:r>
    </w:p>
    <w:p w14:paraId="57D5F58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7.2　信息收集方法</w:t>
      </w:r>
    </w:p>
    <w:p w14:paraId="4639420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7.2.1　应采用开放式提问获取需求信息。初期询问宜围绕使用场景展开，如穿着场合、使用频率等要素。中期应深入了解舒适度偏好、材质要求等具体指标。</w:t>
      </w:r>
    </w:p>
    <w:p w14:paraId="1DA6649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7.2.2　应运用观察法捕捉非语言信息。顾客触摸商品频率反映兴趣程度，试穿时的微表情体现舒适感，视线停留时间暗示关注重点。</w:t>
      </w:r>
    </w:p>
    <w:p w14:paraId="136E36E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7.2.3　可适当使用投射技术探求深层需求。通过展示不同风格产品观察反应，借助产品画册了解审美倾向，利用场景描述激发需求表达。</w:t>
      </w:r>
    </w:p>
    <w:p w14:paraId="063DC07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7.3　关键要素分析</w:t>
      </w:r>
    </w:p>
    <w:p w14:paraId="0A0C9E8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7.3.1　应准确识别核心需求维度。舒适度需求应关注脚型特征和行走习惯，美观度需求应了解颜色偏好和款式倾向，功能性需求应明确使用场景和特殊要求。</w:t>
      </w:r>
    </w:p>
    <w:p w14:paraId="212B1F2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7.3.2　宜建立需求优先级评估体系。将顾客需求分为基本需求、期望需求和惊喜需求三个层级，优先满足基本需求，尽力满足期望需求，适时提供惊喜需求。</w:t>
      </w:r>
    </w:p>
    <w:p w14:paraId="0E55E64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7.3.3　应特别注意特殊需求识别。脚型异常顾客应推荐特定鞋型，运动损伤顾客应提供防护建议，特殊职业人群应考虑工作环境要求。</w:t>
      </w:r>
    </w:p>
    <w:p w14:paraId="107092A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7.4　心理需求解读</w:t>
      </w:r>
    </w:p>
    <w:p w14:paraId="49B6EE7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7.4.1　应透过表面需求洞察心理动机。追求品牌的顾客需要价值认同，注重性价比的顾客寻求理性决策，偏好时尚的顾客渴望个性表达。</w:t>
      </w:r>
    </w:p>
    <w:p w14:paraId="09E7A80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7.4.2　宜把握不同年龄层的心理特征。年轻顾客重视时尚度和社交属性，中年顾客关注品质和舒适性，老年顾客偏爱实用和便利功能。</w:t>
      </w:r>
    </w:p>
    <w:p w14:paraId="1726932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7.4.3　应识别消费决策心理类型。理性型顾客应提供数据支持，感性型顾客应强化情感链接，从众型顾客可展示热销证据，创新型顾客宜推荐特色产品。</w:t>
      </w:r>
    </w:p>
    <w:p w14:paraId="3DE7FAE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7.5　需求验证机制</w:t>
      </w:r>
    </w:p>
    <w:p w14:paraId="0790A76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7.5.1　应采用复述确认法核实需求理解。重要需求要点应重复确认，模糊表述应进一步澄清，矛盾信息应及时核实修正。</w:t>
      </w:r>
    </w:p>
    <w:p w14:paraId="5372616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7.5.2　宜通过产品试穿验证需求匹配度。试穿过程中应观察实际效果，询问穿着感受，比对预期需求，调整推荐方案。</w:t>
      </w:r>
    </w:p>
    <w:p w14:paraId="660F5720">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7.5.3　应建立需求满足度评估标准。使用满意度评分卡量化评估，收集改进建议，记录特殊需求，完善顾客档案。</w:t>
      </w:r>
    </w:p>
    <w:p w14:paraId="758E54FE">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7.6　需求转化应用</w:t>
      </w:r>
    </w:p>
    <w:p w14:paraId="705F837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7.6.1　应将需求分析结果转化为产品特性。舒适需求对应材质和结构特性，美观需求关联设计和工艺特点，功能需求衔接技术创新点。</w:t>
      </w:r>
    </w:p>
    <w:p w14:paraId="1B435B5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7.6.2　宜根据需求特征制定推荐策略。基础需求推荐高性价比产品，升级需求提供进阶选项，个性化需求建议定制解决方案。</w:t>
      </w:r>
    </w:p>
    <w:p w14:paraId="02144D90">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7.6.3　应注重需求与价值的链接转换。将产品特性转化为顾客利益，用场景化描述增强感知价值，通过对比演示突出差异优势。</w:t>
      </w:r>
    </w:p>
    <w:p w14:paraId="5FF033D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7.7　特殊情境处理</w:t>
      </w:r>
    </w:p>
    <w:p w14:paraId="1D010D6F">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7.7.1　代购情境应获取详细代购信息。包括使用者脚型数据、穿着偏好、使用场景等要素，必要时提供测量指导和选购建议。</w:t>
      </w:r>
    </w:p>
    <w:p w14:paraId="4C6D1565">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7.7.2　礼品购买应了解收礼者特征。包括年龄、职业、审美偏好等基本信息，同时考虑礼品场合和寓意表达等特殊要求。</w:t>
      </w:r>
    </w:p>
    <w:p w14:paraId="0FDA94C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7.7.3　团体采购应协调多元需求。通过需求调研表收集个体差异，提供多样化选择方案，制定最大公约数决策机制。</w:t>
      </w:r>
    </w:p>
    <w:p w14:paraId="4F89EB35">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7.8　数据分析应用</w:t>
      </w:r>
    </w:p>
    <w:p w14:paraId="79113F72">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7.8.1　应建立需求信息数据库。记录顾客基本信息、购买偏好、特殊需求等要素，使用标准化分类标签便于检索分析。</w:t>
      </w:r>
    </w:p>
    <w:p w14:paraId="25BBE789">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7.8.2　宜定期进行需求趋势分析。按季度统计需求类型分布，分析需求变化规律，预测新兴需求方向，指导产品引进和培训重点。</w:t>
      </w:r>
    </w:p>
    <w:p w14:paraId="34AE34A2">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7.8.3　应实现需求数据共享应用。将分析结果反馈至采购部门，指导库存结构调整，支持产品开发决策，优化服务流程设计。</w:t>
      </w:r>
    </w:p>
    <w:p w14:paraId="1A25F7B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7.9　能力提升要求</w:t>
      </w:r>
    </w:p>
    <w:p w14:paraId="3D9D8259">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7.9.1　应接受专业需求分析培训。掌握心理学基础知识，学习行为观察技巧，训练提问沟通能力，提升需求洞察水平。</w:t>
      </w:r>
    </w:p>
    <w:p w14:paraId="5E9E59C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7.9.2　宜定期进行案例分析研讨。收集典型需求场景，分析成功处理经验，总结失败教训，形成最佳实践指南。</w:t>
      </w:r>
    </w:p>
    <w:p w14:paraId="7BE667F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7.9.3　应建立需求分析质量评估体系。通过神秘顾客检测分析能力，采用录音复盘改进技巧，利用顾客反馈提升水平。</w:t>
      </w:r>
    </w:p>
    <w:p w14:paraId="512FCF5D">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　售后服务</w:t>
      </w:r>
    </w:p>
    <w:p w14:paraId="3233123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8.1　服务承诺告知</w:t>
      </w:r>
    </w:p>
    <w:p w14:paraId="6C4E328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8.1.1　应在销售环节主动明确告知售后服务政策，详细说明三包期限、适用范围及办理流程。对于特殊商品如处理品、特价品等，应特别说明差异化的售后服务规定。</w:t>
      </w:r>
    </w:p>
    <w:p w14:paraId="0EF6270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8.1.2　宜使用书面材料辅助说明，提供售后服务卡明确记载保修期限、维修网点等信息。重要条款应当面讲解并确认顾客理解，避免产生认知差异。</w:t>
      </w:r>
    </w:p>
    <w:p w14:paraId="1443653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8.2　售后服务流程</w:t>
      </w:r>
    </w:p>
    <w:p w14:paraId="788E177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8.2.1　接待环节应保持专业态度，耐心倾听顾客诉求并完整记录问题详情。应准确识别问题类型，区分质量问题和人为损坏，初步判断是否符合售后服务条件。</w:t>
      </w:r>
    </w:p>
    <w:p w14:paraId="7E270412">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8.2.2　检测评估应由经过培训的专业人员实施，使用标准检测工具和方法。对于复杂问题应保留影像证据，必要时送至专业机构检测鉴定。</w:t>
      </w:r>
    </w:p>
    <w:p w14:paraId="39D430A2">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8.2.3　处理方案应根据检测结果制定，明确说明维修、换货或退货等解决方式。处理时限应告知顾客并严格遵守，特殊情况应提前沟通进展。</w:t>
      </w:r>
    </w:p>
    <w:p w14:paraId="1C5A87B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8.3　质量问题处理</w:t>
      </w:r>
    </w:p>
    <w:p w14:paraId="5814B77E">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8.3.1　对于开胶、开线等工艺问题，应按照三包规定提供免费维修服务。维修后应进行质量检验，确保修复效果达到使用标准。</w:t>
      </w:r>
    </w:p>
    <w:p w14:paraId="2DD031F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8.3.2　出现断底、断面等严重质量问题，经确认属质量缺陷时应予以换货或退货。处理过程应保留相关凭证，按规定上报质量异常情况。</w:t>
      </w:r>
    </w:p>
    <w:p w14:paraId="2719BEB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8.4　顾客原因处理</w:t>
      </w:r>
    </w:p>
    <w:p w14:paraId="21B6B1ED">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8.4.1　对于非质量问题导致的损坏，应提供有偿维修服务。维修前应明确告知费用构成和维修方案，获得顾客确认后方可实施。</w:t>
      </w:r>
    </w:p>
    <w:p w14:paraId="78D4881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8.4.2　因穿着保养不当造成的问题，应提供专业护理建议并演示正确保养方法。可推荐合适的护理产品，帮助顾客延长皮鞋使用寿命。</w:t>
      </w:r>
    </w:p>
    <w:p w14:paraId="0C75E700">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8.5　服务时效要求</w:t>
      </w:r>
    </w:p>
    <w:p w14:paraId="222B9C3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8.5.1　普通维修项目应在七个工作日内完成，特殊情况应与顾客约定明确时限。维修期间应提供备用鞋或临时替代方案，减少顾客不便。</w:t>
      </w:r>
    </w:p>
    <w:p w14:paraId="7E1543DE">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8.5.2　换货处理应即时办理，库存无现货时应启动调货程序并在三日内答复到货时间。退货业务应在确认符合条件后立即办理退款手续。</w:t>
      </w:r>
    </w:p>
    <w:p w14:paraId="10D9A3F2">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8.6　顾客沟通要求</w:t>
      </w:r>
    </w:p>
    <w:p w14:paraId="08733DF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8.6.1　应定期反馈服务进度，重大延误应提前告知并致歉。服务完成后进行满意度回访，认真听取改进建议并记录归档。</w:t>
      </w:r>
    </w:p>
    <w:p w14:paraId="32970147">
      <w:pPr>
        <w:spacing w:line="360" w:lineRule="auto"/>
        <w:rPr>
          <w:rFonts w:ascii="Times New Roman" w:hAnsi="Times New Roman" w:cs="Times New Roman"/>
          <w:sz w:val="28"/>
          <w:szCs w:val="28"/>
        </w:rPr>
      </w:pPr>
      <w:r>
        <w:rPr>
          <w:rFonts w:hint="eastAsia" w:ascii="Times New Roman" w:hAnsi="Times New Roman" w:cs="Times New Roman"/>
          <w:sz w:val="28"/>
          <w:szCs w:val="28"/>
        </w:rPr>
        <w:t>8.6.2　处理投诉时应保持专业态度，避免争辩推诿。复杂问题应升级至上级主管，确保顾客诉求得到妥善解决。</w:t>
      </w:r>
    </w:p>
    <w:p w14:paraId="6618CEDE">
      <w:pPr>
        <w:pStyle w:val="18"/>
        <w:spacing w:line="360" w:lineRule="auto"/>
        <w:ind w:firstLine="0" w:firstLineChars="0"/>
        <w:outlineLvl w:val="0"/>
        <w:rPr>
          <w:rFonts w:ascii="Times New Roman" w:hAnsi="Times New Roman" w:eastAsia="黑体" w:cs="Times New Roman"/>
          <w:b/>
          <w:kern w:val="0"/>
          <w:sz w:val="30"/>
          <w:szCs w:val="30"/>
        </w:rPr>
      </w:pPr>
      <w:bookmarkStart w:id="2" w:name="_Toc12675"/>
      <w:r>
        <w:rPr>
          <w:rFonts w:ascii="Times New Roman" w:hAnsi="Times New Roman" w:eastAsia="黑体" w:cs="Times New Roman"/>
          <w:b/>
          <w:kern w:val="0"/>
          <w:sz w:val="30"/>
          <w:szCs w:val="30"/>
        </w:rPr>
        <w:t>三、主要试验和情况分析</w:t>
      </w:r>
      <w:bookmarkEnd w:id="2"/>
    </w:p>
    <w:p w14:paraId="60C4FED3">
      <w:pPr>
        <w:widowControl/>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结合国内外的行业测试标准和企业内部工厂管控的项目进行要求规定和试验验证。</w:t>
      </w:r>
    </w:p>
    <w:p w14:paraId="0070DF3D">
      <w:pPr>
        <w:pStyle w:val="18"/>
        <w:spacing w:line="360" w:lineRule="auto"/>
        <w:ind w:firstLine="0" w:firstLineChars="0"/>
        <w:outlineLvl w:val="0"/>
        <w:rPr>
          <w:rFonts w:ascii="Times New Roman" w:hAnsi="Times New Roman" w:eastAsia="黑体" w:cs="Times New Roman"/>
          <w:b/>
          <w:kern w:val="0"/>
          <w:sz w:val="30"/>
          <w:szCs w:val="30"/>
        </w:rPr>
      </w:pPr>
      <w:bookmarkStart w:id="3" w:name="_Toc20840"/>
      <w:r>
        <w:rPr>
          <w:rFonts w:ascii="Times New Roman" w:hAnsi="Times New Roman" w:eastAsia="黑体" w:cs="Times New Roman"/>
          <w:b/>
          <w:kern w:val="0"/>
          <w:sz w:val="30"/>
          <w:szCs w:val="30"/>
        </w:rPr>
        <w:t>四、标准中涉及专利的情况</w:t>
      </w:r>
      <w:bookmarkEnd w:id="3"/>
    </w:p>
    <w:p w14:paraId="0530E0EF">
      <w:pPr>
        <w:widowControl/>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无</w:t>
      </w:r>
    </w:p>
    <w:p w14:paraId="3F31E606">
      <w:pPr>
        <w:pStyle w:val="18"/>
        <w:spacing w:line="360" w:lineRule="auto"/>
        <w:ind w:firstLine="0" w:firstLineChars="0"/>
        <w:outlineLvl w:val="0"/>
        <w:rPr>
          <w:rFonts w:ascii="Times New Roman" w:hAnsi="Times New Roman" w:eastAsia="黑体" w:cs="Times New Roman"/>
          <w:b/>
          <w:kern w:val="0"/>
          <w:sz w:val="30"/>
          <w:szCs w:val="30"/>
        </w:rPr>
      </w:pPr>
      <w:bookmarkStart w:id="4" w:name="_Toc29243"/>
      <w:r>
        <w:rPr>
          <w:rFonts w:ascii="Times New Roman" w:hAnsi="Times New Roman" w:eastAsia="黑体" w:cs="Times New Roman"/>
          <w:b/>
          <w:kern w:val="0"/>
          <w:sz w:val="30"/>
          <w:szCs w:val="30"/>
        </w:rPr>
        <w:t>五、预期达到的效益（经济、效益、生态等），对产业发展的作用的情况</w:t>
      </w:r>
      <w:bookmarkEnd w:id="4"/>
    </w:p>
    <w:p w14:paraId="7852582A">
      <w:pPr>
        <w:widowControl/>
        <w:spacing w:line="360" w:lineRule="auto"/>
        <w:ind w:firstLine="560" w:firstLineChars="200"/>
        <w:rPr>
          <w:rFonts w:ascii="Times New Roman" w:hAnsi="Times New Roman" w:cs="Times New Roman"/>
          <w:kern w:val="0"/>
          <w:sz w:val="28"/>
          <w:szCs w:val="28"/>
        </w:rPr>
      </w:pPr>
      <w:r>
        <w:rPr>
          <w:rFonts w:hint="eastAsia" w:ascii="Times New Roman" w:hAnsi="Times New Roman" w:cs="Times New Roman"/>
          <w:kern w:val="0"/>
          <w:sz w:val="28"/>
          <w:szCs w:val="28"/>
        </w:rPr>
        <w:t>皮鞋专卖店导购服务</w:t>
      </w:r>
      <w:r>
        <w:rPr>
          <w:rFonts w:ascii="Times New Roman" w:hAnsi="Times New Roman" w:cs="Times New Roman"/>
          <w:kern w:val="0"/>
          <w:sz w:val="28"/>
          <w:szCs w:val="28"/>
        </w:rPr>
        <w:t>企业规范运营，在国际市场上有机会与其他各国（相关）企业竞争。</w:t>
      </w:r>
    </w:p>
    <w:p w14:paraId="0A0D3800">
      <w:pPr>
        <w:spacing w:line="360" w:lineRule="auto"/>
        <w:outlineLvl w:val="0"/>
        <w:rPr>
          <w:rFonts w:ascii="Times New Roman" w:hAnsi="Times New Roman" w:eastAsia="黑体" w:cs="Times New Roman"/>
          <w:b/>
          <w:kern w:val="0"/>
          <w:sz w:val="30"/>
          <w:szCs w:val="30"/>
        </w:rPr>
      </w:pPr>
      <w:bookmarkStart w:id="5" w:name="_Toc4979"/>
      <w:r>
        <w:rPr>
          <w:rFonts w:ascii="Times New Roman" w:hAnsi="Times New Roman" w:eastAsia="黑体" w:cs="Times New Roman"/>
          <w:b/>
          <w:kern w:val="0"/>
          <w:sz w:val="30"/>
          <w:szCs w:val="30"/>
        </w:rPr>
        <w:t>六、与有关的现行法律、法规和强制性国家标准的关系</w:t>
      </w:r>
      <w:bookmarkEnd w:id="5"/>
    </w:p>
    <w:p w14:paraId="382A0B7A">
      <w:pPr>
        <w:pStyle w:val="18"/>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与现行法律、法规和强制性标准没有冲突。</w:t>
      </w:r>
    </w:p>
    <w:p w14:paraId="400718FE">
      <w:pPr>
        <w:pStyle w:val="18"/>
        <w:spacing w:line="360" w:lineRule="auto"/>
        <w:ind w:firstLine="0" w:firstLineChars="0"/>
        <w:outlineLvl w:val="0"/>
        <w:rPr>
          <w:rFonts w:ascii="Times New Roman" w:hAnsi="Times New Roman" w:eastAsia="黑体" w:cs="Times New Roman"/>
          <w:b/>
          <w:kern w:val="0"/>
          <w:sz w:val="30"/>
          <w:szCs w:val="30"/>
        </w:rPr>
      </w:pPr>
      <w:bookmarkStart w:id="6" w:name="_Toc21799"/>
      <w:r>
        <w:rPr>
          <w:rFonts w:ascii="Times New Roman" w:hAnsi="Times New Roman" w:eastAsia="黑体" w:cs="Times New Roman"/>
          <w:b/>
          <w:kern w:val="0"/>
          <w:sz w:val="30"/>
          <w:szCs w:val="30"/>
        </w:rPr>
        <w:t>七、重大意见分歧的处理依据和结果</w:t>
      </w:r>
      <w:bookmarkEnd w:id="6"/>
    </w:p>
    <w:p w14:paraId="6B56A1A9">
      <w:pPr>
        <w:pStyle w:val="18"/>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标准制定过程中，未出现重大意见分歧。</w:t>
      </w:r>
    </w:p>
    <w:p w14:paraId="7584C4FB">
      <w:pPr>
        <w:pStyle w:val="18"/>
        <w:spacing w:line="360" w:lineRule="auto"/>
        <w:ind w:firstLine="0" w:firstLineChars="0"/>
        <w:outlineLvl w:val="0"/>
        <w:rPr>
          <w:rFonts w:ascii="Times New Roman" w:hAnsi="Times New Roman" w:eastAsia="黑体" w:cs="Times New Roman"/>
          <w:b/>
          <w:kern w:val="0"/>
          <w:sz w:val="30"/>
          <w:szCs w:val="30"/>
        </w:rPr>
      </w:pPr>
      <w:bookmarkStart w:id="7" w:name="_Toc20135"/>
      <w:r>
        <w:rPr>
          <w:rFonts w:ascii="Times New Roman" w:hAnsi="Times New Roman" w:eastAsia="黑体" w:cs="Times New Roman"/>
          <w:b/>
          <w:kern w:val="0"/>
          <w:sz w:val="30"/>
          <w:szCs w:val="30"/>
        </w:rPr>
        <w:t>八、标准性质的建议说明</w:t>
      </w:r>
      <w:bookmarkEnd w:id="7"/>
    </w:p>
    <w:p w14:paraId="0185C34E">
      <w:pPr>
        <w:pStyle w:val="18"/>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本标准为团体标准，供社会各界自愿使用。</w:t>
      </w:r>
    </w:p>
    <w:p w14:paraId="03A22D07">
      <w:pPr>
        <w:pStyle w:val="18"/>
        <w:spacing w:line="360" w:lineRule="auto"/>
        <w:ind w:firstLine="0" w:firstLineChars="0"/>
        <w:outlineLvl w:val="0"/>
        <w:rPr>
          <w:rFonts w:ascii="Times New Roman" w:hAnsi="Times New Roman" w:eastAsia="黑体" w:cs="Times New Roman"/>
          <w:b/>
          <w:kern w:val="0"/>
          <w:sz w:val="30"/>
          <w:szCs w:val="30"/>
        </w:rPr>
      </w:pPr>
      <w:bookmarkStart w:id="8" w:name="_Toc23106"/>
      <w:r>
        <w:rPr>
          <w:rFonts w:ascii="Times New Roman" w:hAnsi="Times New Roman" w:eastAsia="黑体" w:cs="Times New Roman"/>
          <w:b/>
          <w:kern w:val="0"/>
          <w:sz w:val="30"/>
          <w:szCs w:val="30"/>
        </w:rPr>
        <w:t>九、贯彻标准的要求和措施建议</w:t>
      </w:r>
      <w:bookmarkEnd w:id="8"/>
    </w:p>
    <w:p w14:paraId="7FA62707">
      <w:pPr>
        <w:spacing w:after="240" w:afterLines="100" w:line="540" w:lineRule="exact"/>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无。</w:t>
      </w:r>
    </w:p>
    <w:p w14:paraId="243439CE">
      <w:pPr>
        <w:pStyle w:val="18"/>
        <w:spacing w:line="360" w:lineRule="auto"/>
        <w:ind w:firstLine="0" w:firstLineChars="0"/>
        <w:outlineLvl w:val="0"/>
        <w:rPr>
          <w:rFonts w:ascii="Times New Roman" w:hAnsi="Times New Roman" w:eastAsia="黑体" w:cs="Times New Roman"/>
          <w:b/>
          <w:kern w:val="0"/>
          <w:sz w:val="30"/>
          <w:szCs w:val="30"/>
        </w:rPr>
      </w:pPr>
      <w:bookmarkStart w:id="9" w:name="_Toc29517"/>
      <w:r>
        <w:rPr>
          <w:rFonts w:ascii="Times New Roman" w:hAnsi="Times New Roman" w:eastAsia="黑体" w:cs="Times New Roman"/>
          <w:b/>
          <w:kern w:val="0"/>
          <w:sz w:val="30"/>
          <w:szCs w:val="30"/>
        </w:rPr>
        <w:t>十、废止现行相关标准的建议</w:t>
      </w:r>
      <w:bookmarkEnd w:id="9"/>
    </w:p>
    <w:p w14:paraId="029A4A9D">
      <w:pPr>
        <w:spacing w:after="240" w:afterLines="100" w:line="540" w:lineRule="exact"/>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本标准为首次发布。</w:t>
      </w:r>
    </w:p>
    <w:p w14:paraId="742D140B">
      <w:pPr>
        <w:pStyle w:val="18"/>
        <w:spacing w:line="360" w:lineRule="auto"/>
        <w:ind w:firstLine="0" w:firstLineChars="0"/>
        <w:outlineLvl w:val="0"/>
        <w:rPr>
          <w:rFonts w:ascii="Times New Roman" w:hAnsi="Times New Roman" w:eastAsia="黑体" w:cs="Times New Roman"/>
          <w:b/>
          <w:kern w:val="0"/>
          <w:sz w:val="30"/>
          <w:szCs w:val="30"/>
        </w:rPr>
      </w:pPr>
      <w:bookmarkStart w:id="10" w:name="_Toc18435"/>
      <w:r>
        <w:rPr>
          <w:rFonts w:ascii="Times New Roman" w:hAnsi="Times New Roman" w:eastAsia="黑体" w:cs="Times New Roman"/>
          <w:b/>
          <w:kern w:val="0"/>
          <w:sz w:val="30"/>
          <w:szCs w:val="30"/>
        </w:rPr>
        <w:t>十一、其他应予说明的事项</w:t>
      </w:r>
      <w:bookmarkEnd w:id="10"/>
    </w:p>
    <w:p w14:paraId="0066CDE2">
      <w:pPr>
        <w:spacing w:after="240" w:afterLines="100" w:line="540" w:lineRule="exact"/>
        <w:ind w:firstLine="560" w:firstLineChars="200"/>
        <w:rPr>
          <w:rFonts w:ascii="Times New Roman" w:hAnsi="Times New Roman" w:eastAsia="宋体" w:cs="Times New Roman"/>
          <w:kern w:val="0"/>
          <w:sz w:val="28"/>
          <w:szCs w:val="28"/>
        </w:rPr>
      </w:pPr>
      <w:r>
        <w:rPr>
          <w:rFonts w:ascii="Times New Roman" w:hAnsi="Times New Roman" w:eastAsia="宋体" w:cs="Times New Roman"/>
          <w:kern w:val="0"/>
          <w:sz w:val="28"/>
          <w:szCs w:val="28"/>
        </w:rPr>
        <w:t>无。</w:t>
      </w:r>
    </w:p>
    <w:sectPr>
      <w:footerReference r:id="rId4" w:type="default"/>
      <w:pgSz w:w="11906" w:h="16838"/>
      <w:pgMar w:top="1418" w:right="1418" w:bottom="1985" w:left="1797" w:header="851" w:footer="992" w:gutter="0"/>
      <w:pgNumType w:start="1"/>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2334B">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B6CF5">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align>center</wp:align>
              </wp:positionV>
              <wp:extent cx="534035" cy="175260"/>
              <wp:effectExtent l="0" t="0" r="0" b="0"/>
              <wp:wrapNone/>
              <wp:docPr id="1176034229"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534035" cy="175260"/>
                      </a:xfrm>
                      <a:prstGeom prst="rect">
                        <a:avLst/>
                      </a:prstGeom>
                      <a:noFill/>
                      <a:ln>
                        <a:noFill/>
                      </a:ln>
                    </wps:spPr>
                    <wps:txbx>
                      <w:txbxContent>
                        <w:p w14:paraId="00E104CD">
                          <w:pPr>
                            <w:pStyle w:val="8"/>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height:13.8pt;width:42.05pt;mso-position-horizontal:center;mso-position-horizontal-relative:margin;mso-position-vertical:center;mso-wrap-style:none;z-index:251659264;mso-width-relative:page;mso-height-relative:page;" filled="f" stroked="f" coordsize="21600,21600" o:gfxdata="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Sw3u50QAAAAMBAAAPAAAAAAAAAAEAIAAAACIAAABkcnMvZG93bnJl&#10;di54bWxQSwECFAAUAAAACACHTuJAtf4hVQQCAAANBAAADgAAAAAAAAABACAAAAAgAQAAZHJzL2Uy&#10;b0RvYy54bWxQSwUGAAAAAAYABgBZAQAAlgUAAAAA&#10;">
              <v:fill on="f" focussize="0,0"/>
              <v:stroke on="f"/>
              <v:imagedata o:title=""/>
              <o:lock v:ext="edit" aspectratio="f"/>
              <v:textbox inset="0mm,0mm,0mm,0mm" style="mso-fit-shape-to-text:t;">
                <w:txbxContent>
                  <w:p w14:paraId="00E104CD">
                    <w:pPr>
                      <w:pStyle w:val="8"/>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9430B3"/>
    <w:multiLevelType w:val="multilevel"/>
    <w:tmpl w:val="019430B3"/>
    <w:lvl w:ilvl="0" w:tentative="0">
      <w:start w:val="1"/>
      <w:numFmt w:val="decimal"/>
      <w:pStyle w:val="30"/>
      <w:lvlText w:val="%1"/>
      <w:lvlJc w:val="left"/>
      <w:pPr>
        <w:ind w:left="425" w:hanging="425"/>
      </w:pPr>
    </w:lvl>
    <w:lvl w:ilvl="1" w:tentative="0">
      <w:start w:val="1"/>
      <w:numFmt w:val="decimal"/>
      <w:pStyle w:val="31"/>
      <w:lvlText w:val="%1.%2"/>
      <w:lvlJc w:val="left"/>
      <w:pPr>
        <w:ind w:left="992" w:hanging="567"/>
      </w:pPr>
    </w:lvl>
    <w:lvl w:ilvl="2" w:tentative="0">
      <w:start w:val="1"/>
      <w:numFmt w:val="decimal"/>
      <w:pStyle w:val="28"/>
      <w:lvlText w:val="%1.%2.%3"/>
      <w:lvlJc w:val="left"/>
      <w:pPr>
        <w:ind w:left="567"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BjNmNlZTRkMmZjYmYyZTM5OTBkZjEzNTRhZTU4MGUifQ=="/>
  </w:docVars>
  <w:rsids>
    <w:rsidRoot w:val="00BF050A"/>
    <w:rsid w:val="00014360"/>
    <w:rsid w:val="00014AE8"/>
    <w:rsid w:val="0002253B"/>
    <w:rsid w:val="0004018C"/>
    <w:rsid w:val="000413D1"/>
    <w:rsid w:val="00044B03"/>
    <w:rsid w:val="000564F6"/>
    <w:rsid w:val="00057C50"/>
    <w:rsid w:val="0007271C"/>
    <w:rsid w:val="00077B87"/>
    <w:rsid w:val="00083D62"/>
    <w:rsid w:val="00093711"/>
    <w:rsid w:val="000C5572"/>
    <w:rsid w:val="000C6ED2"/>
    <w:rsid w:val="000E0EB3"/>
    <w:rsid w:val="00101337"/>
    <w:rsid w:val="00106D8E"/>
    <w:rsid w:val="00107FA6"/>
    <w:rsid w:val="001336A7"/>
    <w:rsid w:val="001366DD"/>
    <w:rsid w:val="001407D3"/>
    <w:rsid w:val="0014129B"/>
    <w:rsid w:val="00176CC1"/>
    <w:rsid w:val="00182A0A"/>
    <w:rsid w:val="00186B0A"/>
    <w:rsid w:val="001916AE"/>
    <w:rsid w:val="00194FB0"/>
    <w:rsid w:val="001A069A"/>
    <w:rsid w:val="001A095D"/>
    <w:rsid w:val="001A2436"/>
    <w:rsid w:val="001C225F"/>
    <w:rsid w:val="001C4546"/>
    <w:rsid w:val="001D062E"/>
    <w:rsid w:val="001E59EA"/>
    <w:rsid w:val="00203343"/>
    <w:rsid w:val="00210B1B"/>
    <w:rsid w:val="0022590F"/>
    <w:rsid w:val="00231E76"/>
    <w:rsid w:val="002506EB"/>
    <w:rsid w:val="0025166A"/>
    <w:rsid w:val="002645BB"/>
    <w:rsid w:val="00277345"/>
    <w:rsid w:val="0027791C"/>
    <w:rsid w:val="0028530B"/>
    <w:rsid w:val="00285841"/>
    <w:rsid w:val="00293048"/>
    <w:rsid w:val="002A391A"/>
    <w:rsid w:val="002C04B6"/>
    <w:rsid w:val="002D3A9F"/>
    <w:rsid w:val="002E2B56"/>
    <w:rsid w:val="002E459A"/>
    <w:rsid w:val="002F3045"/>
    <w:rsid w:val="00305109"/>
    <w:rsid w:val="0031256A"/>
    <w:rsid w:val="0031561A"/>
    <w:rsid w:val="00317D74"/>
    <w:rsid w:val="003257DB"/>
    <w:rsid w:val="00352B42"/>
    <w:rsid w:val="00357168"/>
    <w:rsid w:val="0036737F"/>
    <w:rsid w:val="00373823"/>
    <w:rsid w:val="003813CC"/>
    <w:rsid w:val="003A00FA"/>
    <w:rsid w:val="003A0364"/>
    <w:rsid w:val="003A509B"/>
    <w:rsid w:val="003B6441"/>
    <w:rsid w:val="003C1B72"/>
    <w:rsid w:val="003F7535"/>
    <w:rsid w:val="00401889"/>
    <w:rsid w:val="00410BC2"/>
    <w:rsid w:val="00413119"/>
    <w:rsid w:val="004172C0"/>
    <w:rsid w:val="004252F2"/>
    <w:rsid w:val="004276CF"/>
    <w:rsid w:val="00435663"/>
    <w:rsid w:val="00436EE9"/>
    <w:rsid w:val="00463563"/>
    <w:rsid w:val="004803B5"/>
    <w:rsid w:val="004B2F65"/>
    <w:rsid w:val="004B6E6F"/>
    <w:rsid w:val="004F4747"/>
    <w:rsid w:val="004F6F77"/>
    <w:rsid w:val="0050411A"/>
    <w:rsid w:val="00505FBC"/>
    <w:rsid w:val="00520FFB"/>
    <w:rsid w:val="005251AE"/>
    <w:rsid w:val="00534D5E"/>
    <w:rsid w:val="00534FAE"/>
    <w:rsid w:val="0054439C"/>
    <w:rsid w:val="00545EB7"/>
    <w:rsid w:val="00596690"/>
    <w:rsid w:val="005A4896"/>
    <w:rsid w:val="005B7647"/>
    <w:rsid w:val="005F13A9"/>
    <w:rsid w:val="00601423"/>
    <w:rsid w:val="00606BF2"/>
    <w:rsid w:val="00621D14"/>
    <w:rsid w:val="006252E3"/>
    <w:rsid w:val="00650FED"/>
    <w:rsid w:val="006878C7"/>
    <w:rsid w:val="006965B4"/>
    <w:rsid w:val="006A01A1"/>
    <w:rsid w:val="006B0B1B"/>
    <w:rsid w:val="006B6D21"/>
    <w:rsid w:val="006B75F5"/>
    <w:rsid w:val="006E5B41"/>
    <w:rsid w:val="00705D75"/>
    <w:rsid w:val="007417C1"/>
    <w:rsid w:val="00747D95"/>
    <w:rsid w:val="00752097"/>
    <w:rsid w:val="00756D5D"/>
    <w:rsid w:val="00761E21"/>
    <w:rsid w:val="00776D4B"/>
    <w:rsid w:val="0079502D"/>
    <w:rsid w:val="00795550"/>
    <w:rsid w:val="007A2FC6"/>
    <w:rsid w:val="007A5AAC"/>
    <w:rsid w:val="007C21C2"/>
    <w:rsid w:val="007D4B87"/>
    <w:rsid w:val="007E4007"/>
    <w:rsid w:val="0082096B"/>
    <w:rsid w:val="008257DF"/>
    <w:rsid w:val="008368E2"/>
    <w:rsid w:val="00845210"/>
    <w:rsid w:val="008618FE"/>
    <w:rsid w:val="008665F7"/>
    <w:rsid w:val="0086666E"/>
    <w:rsid w:val="00870FA5"/>
    <w:rsid w:val="00874660"/>
    <w:rsid w:val="008A766F"/>
    <w:rsid w:val="008B18A3"/>
    <w:rsid w:val="008B2D6D"/>
    <w:rsid w:val="008B34EE"/>
    <w:rsid w:val="008F54B9"/>
    <w:rsid w:val="008F5B83"/>
    <w:rsid w:val="00910049"/>
    <w:rsid w:val="0091708A"/>
    <w:rsid w:val="00932F00"/>
    <w:rsid w:val="00966791"/>
    <w:rsid w:val="0097271F"/>
    <w:rsid w:val="00981821"/>
    <w:rsid w:val="00987820"/>
    <w:rsid w:val="00987E2D"/>
    <w:rsid w:val="009943E0"/>
    <w:rsid w:val="009A16C4"/>
    <w:rsid w:val="009A27FC"/>
    <w:rsid w:val="009A488E"/>
    <w:rsid w:val="009A5078"/>
    <w:rsid w:val="009A6F90"/>
    <w:rsid w:val="009B1FF6"/>
    <w:rsid w:val="009D56C3"/>
    <w:rsid w:val="009E6D91"/>
    <w:rsid w:val="009F0E3F"/>
    <w:rsid w:val="00A06F10"/>
    <w:rsid w:val="00A22C7B"/>
    <w:rsid w:val="00A262E4"/>
    <w:rsid w:val="00A27845"/>
    <w:rsid w:val="00A31084"/>
    <w:rsid w:val="00A42C32"/>
    <w:rsid w:val="00A44A72"/>
    <w:rsid w:val="00A4610C"/>
    <w:rsid w:val="00A50B02"/>
    <w:rsid w:val="00A54455"/>
    <w:rsid w:val="00A5702C"/>
    <w:rsid w:val="00A6194C"/>
    <w:rsid w:val="00A64776"/>
    <w:rsid w:val="00A80365"/>
    <w:rsid w:val="00A835E1"/>
    <w:rsid w:val="00A83680"/>
    <w:rsid w:val="00AB1353"/>
    <w:rsid w:val="00AC01B1"/>
    <w:rsid w:val="00AC09D3"/>
    <w:rsid w:val="00AD0EA1"/>
    <w:rsid w:val="00AD2695"/>
    <w:rsid w:val="00AD39DA"/>
    <w:rsid w:val="00AF01D8"/>
    <w:rsid w:val="00B01C45"/>
    <w:rsid w:val="00B05A42"/>
    <w:rsid w:val="00B22220"/>
    <w:rsid w:val="00B327C1"/>
    <w:rsid w:val="00B47E66"/>
    <w:rsid w:val="00B743AB"/>
    <w:rsid w:val="00B97970"/>
    <w:rsid w:val="00BA15CF"/>
    <w:rsid w:val="00BA3C4F"/>
    <w:rsid w:val="00BB2288"/>
    <w:rsid w:val="00BB3D50"/>
    <w:rsid w:val="00BB5CFC"/>
    <w:rsid w:val="00BC3BB1"/>
    <w:rsid w:val="00BD4F24"/>
    <w:rsid w:val="00BD6056"/>
    <w:rsid w:val="00BE6F2E"/>
    <w:rsid w:val="00BF050A"/>
    <w:rsid w:val="00C21DF8"/>
    <w:rsid w:val="00C37003"/>
    <w:rsid w:val="00C51238"/>
    <w:rsid w:val="00C52B4D"/>
    <w:rsid w:val="00C62D4B"/>
    <w:rsid w:val="00C70FF4"/>
    <w:rsid w:val="00C74D7D"/>
    <w:rsid w:val="00C869DA"/>
    <w:rsid w:val="00C9265C"/>
    <w:rsid w:val="00CA5205"/>
    <w:rsid w:val="00CB0852"/>
    <w:rsid w:val="00D06630"/>
    <w:rsid w:val="00D237D4"/>
    <w:rsid w:val="00D311EA"/>
    <w:rsid w:val="00D77694"/>
    <w:rsid w:val="00D80910"/>
    <w:rsid w:val="00D81489"/>
    <w:rsid w:val="00D837B2"/>
    <w:rsid w:val="00DB46BB"/>
    <w:rsid w:val="00DB5CCC"/>
    <w:rsid w:val="00DD0DFD"/>
    <w:rsid w:val="00DE3ACA"/>
    <w:rsid w:val="00DE7470"/>
    <w:rsid w:val="00E0481B"/>
    <w:rsid w:val="00E07DD4"/>
    <w:rsid w:val="00E11DD3"/>
    <w:rsid w:val="00E15D39"/>
    <w:rsid w:val="00E16774"/>
    <w:rsid w:val="00E33675"/>
    <w:rsid w:val="00E34260"/>
    <w:rsid w:val="00E43D54"/>
    <w:rsid w:val="00E6367D"/>
    <w:rsid w:val="00E6636F"/>
    <w:rsid w:val="00E66D9D"/>
    <w:rsid w:val="00E673E8"/>
    <w:rsid w:val="00E85E1E"/>
    <w:rsid w:val="00E866B8"/>
    <w:rsid w:val="00E92169"/>
    <w:rsid w:val="00EA0AC1"/>
    <w:rsid w:val="00EA1701"/>
    <w:rsid w:val="00EC6BB9"/>
    <w:rsid w:val="00EC777A"/>
    <w:rsid w:val="00ED0D16"/>
    <w:rsid w:val="00ED17F5"/>
    <w:rsid w:val="00ED19A1"/>
    <w:rsid w:val="00ED28CC"/>
    <w:rsid w:val="00EF1BF1"/>
    <w:rsid w:val="00F02E72"/>
    <w:rsid w:val="00F0509E"/>
    <w:rsid w:val="00F06A1A"/>
    <w:rsid w:val="00F27E12"/>
    <w:rsid w:val="00F319AF"/>
    <w:rsid w:val="00F3240D"/>
    <w:rsid w:val="00F40C1D"/>
    <w:rsid w:val="00F43CD1"/>
    <w:rsid w:val="00F4761E"/>
    <w:rsid w:val="00F51C15"/>
    <w:rsid w:val="00F51C79"/>
    <w:rsid w:val="00F741B8"/>
    <w:rsid w:val="00F878B5"/>
    <w:rsid w:val="00F91EFF"/>
    <w:rsid w:val="00F92513"/>
    <w:rsid w:val="00F943A4"/>
    <w:rsid w:val="00F96275"/>
    <w:rsid w:val="00F97976"/>
    <w:rsid w:val="00FB5476"/>
    <w:rsid w:val="00FC26FD"/>
    <w:rsid w:val="00FE00B0"/>
    <w:rsid w:val="00FE5339"/>
    <w:rsid w:val="00FF7FD9"/>
    <w:rsid w:val="02D3482F"/>
    <w:rsid w:val="0FF06439"/>
    <w:rsid w:val="169901DF"/>
    <w:rsid w:val="170D2EB2"/>
    <w:rsid w:val="1F15287C"/>
    <w:rsid w:val="255B6B18"/>
    <w:rsid w:val="2C2D1EE2"/>
    <w:rsid w:val="2D467F37"/>
    <w:rsid w:val="2DAD6C8F"/>
    <w:rsid w:val="344226BF"/>
    <w:rsid w:val="3AFC0F1D"/>
    <w:rsid w:val="40E14CE3"/>
    <w:rsid w:val="542D0422"/>
    <w:rsid w:val="556E336E"/>
    <w:rsid w:val="57BF1D4F"/>
    <w:rsid w:val="663F4E49"/>
    <w:rsid w:val="67A80C44"/>
    <w:rsid w:val="6B9E6287"/>
    <w:rsid w:val="6E433E9B"/>
    <w:rsid w:val="6FF12124"/>
    <w:rsid w:val="706C61B1"/>
    <w:rsid w:val="721F5CDA"/>
    <w:rsid w:val="729E236D"/>
    <w:rsid w:val="79E74A2C"/>
    <w:rsid w:val="7C103D46"/>
    <w:rsid w:val="7C324657"/>
    <w:rsid w:val="7D810938"/>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qFormat="1" w:unhideWhenUsed="0"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6"/>
    <w:unhideWhenUsed/>
    <w:qFormat/>
    <w:uiPriority w:val="9"/>
    <w:pPr>
      <w:keepNext/>
      <w:keepLines/>
      <w:adjustRightInd w:val="0"/>
      <w:snapToGrid w:val="0"/>
      <w:spacing w:line="360" w:lineRule="auto"/>
      <w:outlineLvl w:val="2"/>
    </w:pPr>
    <w:rPr>
      <w:rFonts w:ascii="Times New Roman" w:hAnsi="Times New Roman"/>
      <w:b/>
      <w:bCs/>
      <w:szCs w:val="32"/>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3">
    <w:name w:val="caption"/>
    <w:basedOn w:val="1"/>
    <w:next w:val="1"/>
    <w:unhideWhenUsed/>
    <w:qFormat/>
    <w:uiPriority w:val="35"/>
    <w:pPr>
      <w:jc w:val="center"/>
    </w:pPr>
    <w:rPr>
      <w:rFonts w:eastAsia="黑体" w:asciiTheme="majorHAnsi" w:hAnsiTheme="majorHAnsi" w:cstheme="majorBidi"/>
      <w:szCs w:val="20"/>
    </w:rPr>
  </w:style>
  <w:style w:type="paragraph" w:styleId="4">
    <w:name w:val="Body Text Indent"/>
    <w:basedOn w:val="1"/>
    <w:link w:val="27"/>
    <w:autoRedefine/>
    <w:qFormat/>
    <w:uiPriority w:val="0"/>
    <w:pPr>
      <w:spacing w:line="300" w:lineRule="auto"/>
      <w:ind w:firstLine="420" w:firstLineChars="200"/>
    </w:pPr>
    <w:rPr>
      <w:rFonts w:ascii="Times New Roman" w:hAnsi="宋体" w:eastAsia="宋体" w:cs="Times New Roman"/>
      <w:szCs w:val="20"/>
    </w:rPr>
  </w:style>
  <w:style w:type="paragraph" w:styleId="5">
    <w:name w:val="Date"/>
    <w:basedOn w:val="1"/>
    <w:next w:val="1"/>
    <w:link w:val="26"/>
    <w:autoRedefine/>
    <w:semiHidden/>
    <w:unhideWhenUsed/>
    <w:qFormat/>
    <w:uiPriority w:val="99"/>
    <w:pPr>
      <w:ind w:left="100" w:leftChars="2500"/>
    </w:pPr>
  </w:style>
  <w:style w:type="paragraph" w:styleId="6">
    <w:name w:val="endnote text"/>
    <w:basedOn w:val="1"/>
    <w:link w:val="24"/>
    <w:autoRedefine/>
    <w:qFormat/>
    <w:uiPriority w:val="99"/>
    <w:pPr>
      <w:snapToGrid w:val="0"/>
      <w:jc w:val="left"/>
    </w:pPr>
    <w:rPr>
      <w:rFonts w:ascii="Calibri" w:hAnsi="Calibri" w:eastAsia="宋体" w:cs="Times New Roman"/>
      <w:szCs w:val="24"/>
    </w:rPr>
  </w:style>
  <w:style w:type="paragraph" w:styleId="7">
    <w:name w:val="Balloon Text"/>
    <w:basedOn w:val="1"/>
    <w:link w:val="23"/>
    <w:autoRedefine/>
    <w:semiHidden/>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semiHidden/>
    <w:unhideWhenUsed/>
    <w:qFormat/>
    <w:uiPriority w:val="39"/>
  </w:style>
  <w:style w:type="paragraph" w:styleId="11">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customStyle="1" w:styleId="16">
    <w:name w:val="标题 3 字符"/>
    <w:basedOn w:val="14"/>
    <w:link w:val="2"/>
    <w:autoRedefine/>
    <w:qFormat/>
    <w:uiPriority w:val="9"/>
    <w:rPr>
      <w:rFonts w:ascii="Times New Roman" w:hAnsi="Times New Roman"/>
      <w:b/>
      <w:bCs/>
      <w:szCs w:val="32"/>
    </w:rPr>
  </w:style>
  <w:style w:type="character" w:customStyle="1" w:styleId="17">
    <w:name w:val="页脚 字符"/>
    <w:basedOn w:val="14"/>
    <w:link w:val="8"/>
    <w:qFormat/>
    <w:uiPriority w:val="99"/>
    <w:rPr>
      <w:sz w:val="18"/>
      <w:szCs w:val="18"/>
    </w:rPr>
  </w:style>
  <w:style w:type="paragraph" w:styleId="18">
    <w:name w:val="List Paragraph"/>
    <w:basedOn w:val="1"/>
    <w:autoRedefine/>
    <w:qFormat/>
    <w:uiPriority w:val="34"/>
    <w:pPr>
      <w:ind w:firstLine="420" w:firstLineChars="200"/>
    </w:pPr>
  </w:style>
  <w:style w:type="paragraph" w:customStyle="1" w:styleId="19">
    <w:name w:val="段"/>
    <w:link w:val="20"/>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0">
    <w:name w:val="段 Char"/>
    <w:link w:val="19"/>
    <w:autoRedefine/>
    <w:qFormat/>
    <w:uiPriority w:val="0"/>
    <w:rPr>
      <w:rFonts w:ascii="宋体" w:hAnsi="Times New Roman" w:eastAsia="宋体" w:cs="Times New Roman"/>
      <w:kern w:val="0"/>
      <w:szCs w:val="20"/>
    </w:rPr>
  </w:style>
  <w:style w:type="table" w:customStyle="1" w:styleId="21">
    <w:name w:val="浅色底纹1"/>
    <w:basedOn w:val="12"/>
    <w:autoRedefine/>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character" w:customStyle="1" w:styleId="22">
    <w:name w:val="页眉 字符"/>
    <w:basedOn w:val="14"/>
    <w:link w:val="9"/>
    <w:autoRedefine/>
    <w:qFormat/>
    <w:uiPriority w:val="99"/>
    <w:rPr>
      <w:sz w:val="18"/>
      <w:szCs w:val="18"/>
    </w:rPr>
  </w:style>
  <w:style w:type="character" w:customStyle="1" w:styleId="23">
    <w:name w:val="批注框文本 字符"/>
    <w:basedOn w:val="14"/>
    <w:link w:val="7"/>
    <w:autoRedefine/>
    <w:semiHidden/>
    <w:qFormat/>
    <w:uiPriority w:val="99"/>
    <w:rPr>
      <w:sz w:val="18"/>
      <w:szCs w:val="18"/>
    </w:rPr>
  </w:style>
  <w:style w:type="character" w:customStyle="1" w:styleId="24">
    <w:name w:val="尾注文本 字符"/>
    <w:basedOn w:val="14"/>
    <w:link w:val="6"/>
    <w:autoRedefine/>
    <w:qFormat/>
    <w:uiPriority w:val="99"/>
    <w:rPr>
      <w:rFonts w:ascii="Calibri" w:hAnsi="Calibri" w:eastAsia="宋体" w:cs="Times New Roman"/>
      <w:szCs w:val="24"/>
    </w:rPr>
  </w:style>
  <w:style w:type="table" w:customStyle="1" w:styleId="25">
    <w:name w:val="网格型1"/>
    <w:basedOn w:val="12"/>
    <w:autoRedefine/>
    <w:qFormat/>
    <w:uiPriority w:val="59"/>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
    <w:name w:val="日期 字符"/>
    <w:basedOn w:val="14"/>
    <w:link w:val="5"/>
    <w:autoRedefine/>
    <w:semiHidden/>
    <w:qFormat/>
    <w:uiPriority w:val="99"/>
  </w:style>
  <w:style w:type="character" w:customStyle="1" w:styleId="27">
    <w:name w:val="正文文本缩进 字符"/>
    <w:basedOn w:val="14"/>
    <w:link w:val="4"/>
    <w:autoRedefine/>
    <w:qFormat/>
    <w:uiPriority w:val="0"/>
    <w:rPr>
      <w:rFonts w:ascii="Times New Roman" w:hAnsi="宋体" w:eastAsia="宋体" w:cs="Times New Roman"/>
      <w:szCs w:val="20"/>
    </w:rPr>
  </w:style>
  <w:style w:type="paragraph" w:customStyle="1" w:styleId="28">
    <w:name w:val="二级条标题"/>
    <w:basedOn w:val="1"/>
    <w:next w:val="19"/>
    <w:autoRedefine/>
    <w:qFormat/>
    <w:uiPriority w:val="0"/>
    <w:pPr>
      <w:widowControl/>
      <w:numPr>
        <w:ilvl w:val="2"/>
        <w:numId w:val="1"/>
      </w:numPr>
      <w:spacing w:beforeLines="50" w:afterLines="50"/>
      <w:jc w:val="left"/>
      <w:outlineLvl w:val="3"/>
    </w:pPr>
    <w:rPr>
      <w:rFonts w:ascii="黑体" w:hAnsi="Times New Roman" w:eastAsia="黑体" w:cs="Times New Roman"/>
      <w:kern w:val="0"/>
      <w:szCs w:val="21"/>
    </w:rPr>
  </w:style>
  <w:style w:type="character" w:customStyle="1" w:styleId="29">
    <w:name w:val="headline-content2"/>
    <w:basedOn w:val="14"/>
    <w:autoRedefine/>
    <w:qFormat/>
    <w:uiPriority w:val="0"/>
  </w:style>
  <w:style w:type="paragraph" w:customStyle="1" w:styleId="30">
    <w:name w:val="章标题"/>
    <w:next w:val="19"/>
    <w:autoRedefine/>
    <w:qFormat/>
    <w:uiPriority w:val="0"/>
    <w:pPr>
      <w:numPr>
        <w:ilvl w:val="0"/>
        <w:numId w:val="1"/>
      </w:numPr>
      <w:spacing w:beforeLines="100" w:afterLines="100"/>
      <w:ind w:left="426"/>
      <w:jc w:val="both"/>
      <w:outlineLvl w:val="1"/>
    </w:pPr>
    <w:rPr>
      <w:rFonts w:ascii="黑体" w:hAnsi="Times New Roman" w:eastAsia="黑体" w:cs="Times New Roman"/>
      <w:sz w:val="21"/>
      <w:lang w:val="en-US" w:eastAsia="zh-CN" w:bidi="ar-SA"/>
    </w:rPr>
  </w:style>
  <w:style w:type="paragraph" w:customStyle="1" w:styleId="31">
    <w:name w:val="一级条标题"/>
    <w:next w:val="19"/>
    <w:autoRedefine/>
    <w:qFormat/>
    <w:uiPriority w:val="0"/>
    <w:pPr>
      <w:numPr>
        <w:ilvl w:val="1"/>
        <w:numId w:val="1"/>
      </w:numPr>
      <w:spacing w:beforeLines="50" w:afterLines="50"/>
      <w:ind w:left="0"/>
      <w:outlineLvl w:val="2"/>
    </w:pPr>
    <w:rPr>
      <w:rFonts w:ascii="黑体" w:hAnsi="Times New Roman" w:eastAsia="黑体" w:cs="Times New Roman"/>
      <w:sz w:val="21"/>
      <w:szCs w:val="21"/>
      <w:lang w:val="en-US" w:eastAsia="zh-CN" w:bidi="ar-SA"/>
    </w:rPr>
  </w:style>
  <w:style w:type="paragraph" w:customStyle="1" w:styleId="32">
    <w:name w:val="二级无"/>
    <w:basedOn w:val="28"/>
    <w:autoRedefine/>
    <w:qFormat/>
    <w:uiPriority w:val="0"/>
    <w:pPr>
      <w:spacing w:beforeLines="0" w:afterLines="0"/>
      <w:ind w:left="0" w:firstLine="0"/>
    </w:pPr>
    <w:rPr>
      <w:rFonts w:ascii="宋体" w:eastAsia="宋体"/>
    </w:rPr>
  </w:style>
  <w:style w:type="paragraph" w:customStyle="1" w:styleId="33">
    <w:name w:val="WPSOffice手动目录 1"/>
    <w:autoRedefine/>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C3B4CF-5B34-45C4-9690-BC0234FFD250}">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21</Pages>
  <Words>9109</Words>
  <Characters>9958</Characters>
  <Lines>617</Lines>
  <Paragraphs>694</Paragraphs>
  <TotalTime>2</TotalTime>
  <ScaleCrop>false</ScaleCrop>
  <LinksUpToDate>false</LinksUpToDate>
  <CharactersWithSpaces>10233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2025-09-19T07:04:00Z</dcterms:created>
  <dc:creator>yao jiang</dc:creator>
  <cp:lastModifiedBy>Shimmer</cp:lastModifiedBy>
  <dcterms:modified xsi:type="dcterms:W3CDTF">2025-12-15T08:55:53Z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286513CB856B4AD4B4C264CC0310DEB1</vt:lpwstr>
  </property>
  <property fmtid="{D5CDD505-2E9C-101B-9397-08002B2CF9AE}" pid="4" name="KSOTemplateDocerSaveRecord">
    <vt:lpwstr>eyJoZGlkIjoiYmMyN2Y1NjU1MGJkOTJlMGU2NjMwODJlNzlmZmZjZDkiLCJ1c2VySWQiOiIxNjEyNTI2NzM3In0=</vt:lpwstr>
  </property>
</Properties>
</file>