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7F321">
      <w:pPr>
        <w:adjustRightInd w:val="0"/>
        <w:snapToGrid w:val="0"/>
        <w:spacing w:line="360" w:lineRule="auto"/>
        <w:jc w:val="center"/>
        <w:rPr>
          <w:rFonts w:hint="default" w:ascii="Times New Roman" w:hAnsi="Times New Roman" w:eastAsia="黑体" w:cs="Times New Roman"/>
          <w:b/>
          <w:sz w:val="48"/>
          <w:szCs w:val="48"/>
          <w:highlight w:val="none"/>
        </w:rPr>
      </w:pPr>
    </w:p>
    <w:p w14:paraId="79EBEC41">
      <w:pPr>
        <w:adjustRightInd w:val="0"/>
        <w:snapToGrid w:val="0"/>
        <w:spacing w:line="360" w:lineRule="auto"/>
        <w:jc w:val="center"/>
        <w:rPr>
          <w:rFonts w:hint="default" w:ascii="Times New Roman" w:hAnsi="Times New Roman" w:eastAsia="黑体" w:cs="Times New Roman"/>
          <w:b/>
          <w:sz w:val="48"/>
          <w:szCs w:val="48"/>
          <w:highlight w:val="none"/>
        </w:rPr>
      </w:pPr>
      <w:r>
        <w:rPr>
          <w:rFonts w:hint="default" w:ascii="Times New Roman" w:hAnsi="Times New Roman" w:eastAsia="黑体" w:cs="Times New Roman"/>
          <w:b/>
          <w:sz w:val="48"/>
          <w:szCs w:val="48"/>
          <w:highlight w:val="none"/>
        </w:rPr>
        <w:t>团</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体</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标</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准</w:t>
      </w:r>
    </w:p>
    <w:p w14:paraId="42C0B5D8">
      <w:pPr>
        <w:adjustRightInd w:val="0"/>
        <w:snapToGrid w:val="0"/>
        <w:spacing w:line="360" w:lineRule="auto"/>
        <w:jc w:val="center"/>
        <w:rPr>
          <w:rFonts w:hint="default" w:ascii="Times New Roman" w:hAnsi="Times New Roman" w:eastAsia="黑体" w:cs="Times New Roman"/>
          <w:b/>
          <w:sz w:val="48"/>
          <w:szCs w:val="48"/>
          <w:highlight w:val="none"/>
        </w:rPr>
      </w:pPr>
    </w:p>
    <w:p w14:paraId="7C769135">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r>
        <w:rPr>
          <w:rFonts w:hint="default" w:ascii="Times New Roman" w:hAnsi="Times New Roman" w:eastAsia="黑体" w:cs="Times New Roman"/>
          <w:b/>
          <w:sz w:val="52"/>
          <w:szCs w:val="52"/>
          <w:highlight w:val="none"/>
          <w:lang w:val="en-US" w:eastAsia="zh-CN"/>
        </w:rPr>
        <w:t>鞋类企业ESG披露指南</w:t>
      </w:r>
    </w:p>
    <w:p w14:paraId="4F2C0C86">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p>
    <w:p w14:paraId="0E3DDCE8">
      <w:pPr>
        <w:spacing w:line="480" w:lineRule="auto"/>
        <w:jc w:val="center"/>
        <w:rPr>
          <w:rFonts w:hint="default" w:ascii="Times New Roman" w:hAnsi="Times New Roman" w:eastAsia="黑体" w:cs="Times New Roman"/>
          <w:b/>
          <w:sz w:val="52"/>
          <w:szCs w:val="52"/>
          <w:highlight w:val="none"/>
        </w:rPr>
      </w:pPr>
      <w:r>
        <w:rPr>
          <w:rFonts w:hint="default" w:ascii="Times New Roman" w:hAnsi="Times New Roman" w:eastAsia="黑体" w:cs="Times New Roman"/>
          <w:b/>
          <w:sz w:val="52"/>
          <w:szCs w:val="52"/>
          <w:highlight w:val="none"/>
        </w:rPr>
        <w:t>编 制 说 明</w:t>
      </w:r>
    </w:p>
    <w:p w14:paraId="4D8E4317">
      <w:pPr>
        <w:adjustRightInd w:val="0"/>
        <w:snapToGrid w:val="0"/>
        <w:spacing w:line="360" w:lineRule="auto"/>
        <w:rPr>
          <w:rFonts w:hint="default" w:ascii="Times New Roman" w:hAnsi="Times New Roman" w:eastAsia="仿宋" w:cs="Times New Roman"/>
          <w:b/>
          <w:sz w:val="24"/>
          <w:szCs w:val="24"/>
          <w:highlight w:val="none"/>
        </w:rPr>
      </w:pPr>
    </w:p>
    <w:p w14:paraId="7BA44CF7">
      <w:pPr>
        <w:adjustRightInd w:val="0"/>
        <w:snapToGrid w:val="0"/>
        <w:spacing w:line="360" w:lineRule="auto"/>
        <w:rPr>
          <w:rFonts w:hint="default" w:ascii="Times New Roman" w:hAnsi="Times New Roman" w:eastAsia="仿宋" w:cs="Times New Roman"/>
          <w:b/>
          <w:sz w:val="24"/>
          <w:szCs w:val="24"/>
          <w:highlight w:val="none"/>
        </w:rPr>
      </w:pPr>
    </w:p>
    <w:p w14:paraId="2C79E419">
      <w:pPr>
        <w:adjustRightInd w:val="0"/>
        <w:snapToGrid w:val="0"/>
        <w:spacing w:line="360" w:lineRule="auto"/>
        <w:rPr>
          <w:rFonts w:hint="default" w:ascii="Times New Roman" w:hAnsi="Times New Roman" w:eastAsia="仿宋" w:cs="Times New Roman"/>
          <w:b/>
          <w:sz w:val="24"/>
          <w:szCs w:val="24"/>
          <w:highlight w:val="none"/>
        </w:rPr>
      </w:pPr>
    </w:p>
    <w:p w14:paraId="303C045A">
      <w:pPr>
        <w:adjustRightInd w:val="0"/>
        <w:snapToGrid w:val="0"/>
        <w:spacing w:line="360" w:lineRule="auto"/>
        <w:rPr>
          <w:rFonts w:hint="default" w:ascii="Times New Roman" w:hAnsi="Times New Roman" w:eastAsia="仿宋" w:cs="Times New Roman"/>
          <w:b/>
          <w:sz w:val="24"/>
          <w:szCs w:val="24"/>
          <w:highlight w:val="none"/>
        </w:rPr>
      </w:pPr>
    </w:p>
    <w:p w14:paraId="55EC9037">
      <w:pPr>
        <w:adjustRightInd w:val="0"/>
        <w:snapToGrid w:val="0"/>
        <w:spacing w:line="360" w:lineRule="auto"/>
        <w:rPr>
          <w:rFonts w:hint="default" w:ascii="Times New Roman" w:hAnsi="Times New Roman" w:eastAsia="仿宋" w:cs="Times New Roman"/>
          <w:b/>
          <w:sz w:val="24"/>
          <w:szCs w:val="24"/>
          <w:highlight w:val="none"/>
        </w:rPr>
      </w:pPr>
    </w:p>
    <w:p w14:paraId="14AA5CF9">
      <w:pPr>
        <w:adjustRightInd w:val="0"/>
        <w:snapToGrid w:val="0"/>
        <w:spacing w:line="360" w:lineRule="auto"/>
        <w:rPr>
          <w:rFonts w:hint="default" w:ascii="Times New Roman" w:hAnsi="Times New Roman" w:eastAsia="仿宋" w:cs="Times New Roman"/>
          <w:b/>
          <w:sz w:val="24"/>
          <w:szCs w:val="24"/>
          <w:highlight w:val="none"/>
        </w:rPr>
      </w:pPr>
    </w:p>
    <w:p w14:paraId="50B2BD86">
      <w:pPr>
        <w:adjustRightInd w:val="0"/>
        <w:snapToGrid w:val="0"/>
        <w:spacing w:line="360" w:lineRule="auto"/>
        <w:rPr>
          <w:rFonts w:hint="default" w:ascii="Times New Roman" w:hAnsi="Times New Roman" w:eastAsia="仿宋" w:cs="Times New Roman"/>
          <w:b/>
          <w:sz w:val="24"/>
          <w:szCs w:val="24"/>
          <w:highlight w:val="none"/>
        </w:rPr>
      </w:pPr>
    </w:p>
    <w:p w14:paraId="6CA6CF32">
      <w:pPr>
        <w:adjustRightInd w:val="0"/>
        <w:snapToGrid w:val="0"/>
        <w:spacing w:line="360" w:lineRule="auto"/>
        <w:rPr>
          <w:rFonts w:hint="default" w:ascii="Times New Roman" w:hAnsi="Times New Roman" w:eastAsia="仿宋" w:cs="Times New Roman"/>
          <w:b/>
          <w:sz w:val="24"/>
          <w:szCs w:val="24"/>
          <w:highlight w:val="none"/>
        </w:rPr>
      </w:pPr>
    </w:p>
    <w:p w14:paraId="06FE5E09">
      <w:pPr>
        <w:adjustRightInd w:val="0"/>
        <w:snapToGrid w:val="0"/>
        <w:spacing w:line="360" w:lineRule="auto"/>
        <w:rPr>
          <w:rFonts w:hint="default" w:ascii="Times New Roman" w:hAnsi="Times New Roman" w:eastAsia="仿宋" w:cs="Times New Roman"/>
          <w:b/>
          <w:sz w:val="24"/>
          <w:szCs w:val="24"/>
          <w:highlight w:val="none"/>
        </w:rPr>
      </w:pPr>
    </w:p>
    <w:p w14:paraId="4F36805F">
      <w:pPr>
        <w:adjustRightInd w:val="0"/>
        <w:snapToGrid w:val="0"/>
        <w:spacing w:line="360" w:lineRule="auto"/>
        <w:rPr>
          <w:rFonts w:hint="default" w:ascii="Times New Roman" w:hAnsi="Times New Roman" w:eastAsia="仿宋" w:cs="Times New Roman"/>
          <w:b/>
          <w:sz w:val="24"/>
          <w:szCs w:val="24"/>
          <w:highlight w:val="none"/>
        </w:rPr>
      </w:pPr>
    </w:p>
    <w:p w14:paraId="7076EB3E">
      <w:pPr>
        <w:adjustRightInd w:val="0"/>
        <w:snapToGrid w:val="0"/>
        <w:spacing w:line="360" w:lineRule="auto"/>
        <w:rPr>
          <w:rFonts w:hint="default" w:ascii="Times New Roman" w:hAnsi="Times New Roman" w:eastAsia="仿宋" w:cs="Times New Roman"/>
          <w:b/>
          <w:sz w:val="24"/>
          <w:szCs w:val="24"/>
          <w:highlight w:val="none"/>
        </w:rPr>
      </w:pPr>
    </w:p>
    <w:p w14:paraId="2141B276">
      <w:pPr>
        <w:adjustRightInd w:val="0"/>
        <w:snapToGrid w:val="0"/>
        <w:spacing w:line="360" w:lineRule="auto"/>
        <w:rPr>
          <w:rFonts w:hint="default" w:ascii="Times New Roman" w:hAnsi="Times New Roman" w:eastAsia="仿宋" w:cs="Times New Roman"/>
          <w:b/>
          <w:sz w:val="24"/>
          <w:szCs w:val="24"/>
          <w:highlight w:val="none"/>
        </w:rPr>
      </w:pPr>
    </w:p>
    <w:p w14:paraId="0E864088">
      <w:pPr>
        <w:spacing w:line="48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w:t>
      </w:r>
      <w:r>
        <w:rPr>
          <w:rFonts w:hint="default" w:ascii="Times New Roman" w:hAnsi="Times New Roman" w:eastAsia="楷体_GB2312" w:cs="Times New Roman"/>
          <w:b/>
          <w:sz w:val="36"/>
          <w:szCs w:val="36"/>
          <w:highlight w:val="none"/>
          <w:lang w:val="en-US" w:eastAsia="zh-CN"/>
        </w:rPr>
        <w:t>鞋类企业ESG披露指南</w:t>
      </w:r>
      <w:r>
        <w:rPr>
          <w:rFonts w:hint="default" w:ascii="Times New Roman" w:hAnsi="Times New Roman" w:eastAsia="楷体_GB2312" w:cs="Times New Roman"/>
          <w:b/>
          <w:sz w:val="36"/>
          <w:szCs w:val="36"/>
          <w:highlight w:val="none"/>
        </w:rPr>
        <w:t>》小组</w:t>
      </w:r>
    </w:p>
    <w:p w14:paraId="4C09E430">
      <w:pPr>
        <w:spacing w:line="36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〇</w:t>
      </w: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五</w:t>
      </w:r>
      <w:r>
        <w:rPr>
          <w:rFonts w:hint="default" w:ascii="Times New Roman" w:hAnsi="Times New Roman" w:eastAsia="楷体_GB2312" w:cs="Times New Roman"/>
          <w:b/>
          <w:sz w:val="36"/>
          <w:szCs w:val="36"/>
          <w:highlight w:val="none"/>
        </w:rPr>
        <w:t>年</w:t>
      </w:r>
      <w:r>
        <w:rPr>
          <w:rFonts w:hint="eastAsia" w:ascii="Times New Roman" w:hAnsi="Times New Roman" w:eastAsia="楷体_GB2312" w:cs="Times New Roman"/>
          <w:b/>
          <w:sz w:val="36"/>
          <w:szCs w:val="36"/>
          <w:highlight w:val="none"/>
          <w:lang w:val="en-US" w:eastAsia="zh-CN"/>
        </w:rPr>
        <w:t>十一</w:t>
      </w:r>
      <w:r>
        <w:rPr>
          <w:rFonts w:hint="default" w:ascii="Times New Roman" w:hAnsi="Times New Roman" w:eastAsia="楷体_GB2312" w:cs="Times New Roman"/>
          <w:b/>
          <w:sz w:val="36"/>
          <w:szCs w:val="36"/>
          <w:highlight w:val="none"/>
        </w:rPr>
        <w:t>月</w:t>
      </w:r>
    </w:p>
    <w:p w14:paraId="6AF7A759">
      <w:pPr>
        <w:spacing w:line="360" w:lineRule="auto"/>
        <w:jc w:val="center"/>
        <w:rPr>
          <w:rFonts w:hint="default" w:ascii="Times New Roman" w:hAnsi="Times New Roman" w:eastAsia="楷体_GB2312" w:cs="Times New Roman"/>
          <w:b/>
          <w:sz w:val="36"/>
          <w:szCs w:val="36"/>
          <w:highlight w:val="none"/>
        </w:rPr>
      </w:pPr>
    </w:p>
    <w:p w14:paraId="21C44583">
      <w:pPr>
        <w:spacing w:line="360" w:lineRule="auto"/>
        <w:jc w:val="center"/>
        <w:rPr>
          <w:rFonts w:hint="default" w:ascii="Times New Roman" w:hAnsi="Times New Roman" w:eastAsia="黑体" w:cs="Times New Roman"/>
          <w:sz w:val="36"/>
          <w:szCs w:val="36"/>
          <w:highlight w:val="none"/>
        </w:rPr>
        <w:sectPr>
          <w:pgSz w:w="11906" w:h="16838"/>
          <w:pgMar w:top="1418" w:right="1418" w:bottom="1985" w:left="1797" w:header="851" w:footer="992" w:gutter="0"/>
          <w:cols w:space="425" w:num="1"/>
          <w:docGrid w:linePitch="312" w:charSpace="0"/>
        </w:sectPr>
      </w:pPr>
    </w:p>
    <w:sdt>
      <w:sdtPr>
        <w:rPr>
          <w:rFonts w:hint="default" w:ascii="Times New Roman" w:hAnsi="Times New Roman" w:eastAsia="黑体" w:cs="Times New Roman"/>
          <w:kern w:val="2"/>
          <w:sz w:val="44"/>
          <w:szCs w:val="48"/>
          <w:highlight w:val="none"/>
          <w:lang w:val="en-US" w:eastAsia="zh-CN" w:bidi="ar-SA"/>
        </w:rPr>
        <w:id w:val="147469836"/>
        <w15:color w:val="DBDBDB"/>
        <w:docPartObj>
          <w:docPartGallery w:val="Table of Contents"/>
          <w:docPartUnique/>
        </w:docPartObj>
      </w:sdtPr>
      <w:sdtEndPr>
        <w:rPr>
          <w:rFonts w:hint="default" w:ascii="Times New Roman" w:hAnsi="Times New Roman" w:eastAsia="黑体" w:cs="Times New Roman"/>
          <w:kern w:val="2"/>
          <w:sz w:val="21"/>
          <w:szCs w:val="36"/>
          <w:highlight w:val="none"/>
          <w:lang w:val="en-US" w:eastAsia="zh-CN" w:bidi="ar-SA"/>
        </w:rPr>
      </w:sdtEndPr>
      <w:sdtContent>
        <w:p w14:paraId="4E658B3B">
          <w:pPr>
            <w:keepNext w:val="0"/>
            <w:keepLines w:val="0"/>
            <w:pageBreakBefore w:val="0"/>
            <w:widowControl w:val="0"/>
            <w:kinsoku/>
            <w:wordWrap/>
            <w:overflowPunct/>
            <w:topLinePunct w:val="0"/>
            <w:autoSpaceDE/>
            <w:autoSpaceDN/>
            <w:bidi w:val="0"/>
            <w:adjustRightInd/>
            <w:snapToGrid/>
            <w:spacing w:before="625" w:beforeLines="200" w:after="625" w:afterLines="200" w:line="240" w:lineRule="auto"/>
            <w:ind w:left="0" w:leftChars="0" w:right="0" w:rightChars="0" w:firstLine="0" w:firstLineChars="0"/>
            <w:jc w:val="center"/>
            <w:textAlignment w:val="auto"/>
            <w:rPr>
              <w:rFonts w:hint="default" w:ascii="Times New Roman" w:hAnsi="Times New Roman" w:eastAsia="黑体" w:cs="Times New Roman"/>
              <w:sz w:val="44"/>
              <w:szCs w:val="48"/>
              <w:highlight w:val="none"/>
            </w:rPr>
          </w:pPr>
          <w:r>
            <w:rPr>
              <w:rFonts w:hint="default" w:ascii="Times New Roman" w:hAnsi="Times New Roman" w:eastAsia="黑体" w:cs="Times New Roman"/>
              <w:sz w:val="44"/>
              <w:szCs w:val="48"/>
              <w:highlight w:val="none"/>
            </w:rPr>
            <w:t>目</w:t>
          </w:r>
          <w:r>
            <w:rPr>
              <w:rFonts w:hint="default" w:ascii="Times New Roman" w:hAnsi="Times New Roman" w:eastAsia="黑体" w:cs="Times New Roman"/>
              <w:sz w:val="44"/>
              <w:szCs w:val="48"/>
              <w:highlight w:val="none"/>
              <w:lang w:val="en-US" w:eastAsia="zh-CN"/>
            </w:rPr>
            <w:t xml:space="preserve">  </w:t>
          </w:r>
          <w:r>
            <w:rPr>
              <w:rFonts w:hint="default" w:ascii="Times New Roman" w:hAnsi="Times New Roman" w:eastAsia="黑体" w:cs="Times New Roman"/>
              <w:sz w:val="44"/>
              <w:szCs w:val="48"/>
              <w:highlight w:val="none"/>
            </w:rPr>
            <w:t>录</w:t>
          </w:r>
        </w:p>
        <w:p w14:paraId="2378553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32"/>
              <w:szCs w:val="32"/>
              <w:highlight w:val="none"/>
            </w:rPr>
            <w:fldChar w:fldCharType="begin"/>
          </w:r>
          <w:r>
            <w:rPr>
              <w:rFonts w:hint="default" w:ascii="Times New Roman" w:hAnsi="Times New Roman" w:eastAsia="黑体" w:cs="Times New Roman"/>
              <w:sz w:val="32"/>
              <w:szCs w:val="32"/>
              <w:highlight w:val="none"/>
            </w:rPr>
            <w:instrText xml:space="preserve">TOC \o "1-1" \h \u </w:instrText>
          </w:r>
          <w:r>
            <w:rPr>
              <w:rFonts w:hint="default" w:ascii="Times New Roman" w:hAnsi="Times New Roman" w:eastAsia="黑体" w:cs="Times New Roman"/>
              <w:sz w:val="32"/>
              <w:szCs w:val="32"/>
              <w:highlight w:val="none"/>
            </w:rPr>
            <w:fldChar w:fldCharType="separate"/>
          </w: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_Toc19956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一</w:t>
          </w:r>
          <w:r>
            <w:rPr>
              <w:rFonts w:hint="default" w:ascii="Times New Roman" w:hAnsi="Times New Roman" w:eastAsia="黑体" w:cs="Times New Roman"/>
              <w:sz w:val="28"/>
              <w:szCs w:val="40"/>
              <w:highlight w:val="none"/>
            </w:rPr>
            <w:t>、工作简况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_Toc19956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A433D9B">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_Toc16067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二</w:t>
          </w:r>
          <w:r>
            <w:rPr>
              <w:rFonts w:hint="default" w:ascii="Times New Roman" w:hAnsi="Times New Roman" w:eastAsia="黑体" w:cs="Times New Roman"/>
              <w:sz w:val="28"/>
              <w:szCs w:val="40"/>
              <w:highlight w:val="none"/>
            </w:rPr>
            <w:t>、标准编制原则</w:t>
          </w:r>
          <w:r>
            <w:rPr>
              <w:rFonts w:hint="default" w:ascii="Times New Roman" w:hAnsi="Times New Roman" w:eastAsia="黑体" w:cs="Times New Roman"/>
              <w:sz w:val="28"/>
              <w:szCs w:val="40"/>
              <w:highlight w:val="none"/>
              <w:lang w:val="en-US" w:eastAsia="zh-CN"/>
            </w:rPr>
            <w:t>和</w:t>
          </w:r>
          <w:r>
            <w:rPr>
              <w:rFonts w:hint="default" w:ascii="Times New Roman" w:hAnsi="Times New Roman" w:eastAsia="黑体" w:cs="Times New Roman"/>
              <w:sz w:val="28"/>
              <w:szCs w:val="40"/>
              <w:highlight w:val="none"/>
            </w:rPr>
            <w:t>主要内容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_Toc16067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8900774">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_Toc12675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三</w:t>
          </w:r>
          <w:r>
            <w:rPr>
              <w:rFonts w:hint="default" w:ascii="Times New Roman" w:hAnsi="Times New Roman" w:eastAsia="黑体" w:cs="Times New Roman"/>
              <w:kern w:val="0"/>
              <w:sz w:val="28"/>
              <w:szCs w:val="40"/>
              <w:highlight w:val="none"/>
            </w:rPr>
            <w:t>、主要试验</w:t>
          </w:r>
          <w:r>
            <w:rPr>
              <w:rFonts w:hint="default" w:ascii="Times New Roman" w:hAnsi="Times New Roman" w:eastAsia="黑体" w:cs="Times New Roman"/>
              <w:kern w:val="0"/>
              <w:sz w:val="28"/>
              <w:szCs w:val="40"/>
              <w:highlight w:val="none"/>
              <w:lang w:val="en-US" w:eastAsia="zh-CN"/>
            </w:rPr>
            <w:t>和情况分析</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_Toc12675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19</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B13124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_Toc20840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四</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标准中涉及专利的情况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_Toc20840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19</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F79DEA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_Toc29243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五</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预期达到的效益（经济、效益、生态等），对产业发展的作用的情况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_Toc29243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19</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4D15F06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_Toc4979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六</w:t>
          </w:r>
          <w:r>
            <w:rPr>
              <w:rFonts w:hint="default" w:ascii="Times New Roman" w:hAnsi="Times New Roman" w:eastAsia="黑体" w:cs="Times New Roman"/>
              <w:kern w:val="0"/>
              <w:sz w:val="28"/>
              <w:szCs w:val="40"/>
              <w:highlight w:val="none"/>
            </w:rPr>
            <w:t>、与有关的现行法律、法规和强制性国家标准的关系</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_Toc4979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19</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CDAD3F3">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_Toc21799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七</w:t>
          </w:r>
          <w:r>
            <w:rPr>
              <w:rFonts w:hint="default" w:ascii="Times New Roman" w:hAnsi="Times New Roman" w:eastAsia="黑体" w:cs="Times New Roman"/>
              <w:kern w:val="0"/>
              <w:sz w:val="28"/>
              <w:szCs w:val="40"/>
              <w:highlight w:val="none"/>
            </w:rPr>
            <w:t>、重大意见分歧的处理依据和结果</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_Toc21799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19</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DAFF3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_Toc20135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八</w:t>
          </w:r>
          <w:r>
            <w:rPr>
              <w:rFonts w:hint="default" w:ascii="Times New Roman" w:hAnsi="Times New Roman" w:eastAsia="黑体" w:cs="Times New Roman"/>
              <w:kern w:val="0"/>
              <w:sz w:val="28"/>
              <w:szCs w:val="40"/>
              <w:highlight w:val="none"/>
            </w:rPr>
            <w:t>、标准性质的建议说明</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_Toc20135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20</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F4DDAC">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_Toc23106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九</w:t>
          </w:r>
          <w:r>
            <w:rPr>
              <w:rFonts w:hint="default" w:ascii="Times New Roman" w:hAnsi="Times New Roman" w:eastAsia="黑体" w:cs="Times New Roman"/>
              <w:kern w:val="0"/>
              <w:sz w:val="28"/>
              <w:szCs w:val="40"/>
              <w:highlight w:val="none"/>
            </w:rPr>
            <w:t>、贯彻标准的要求和措施建议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_Toc23106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20</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03A366C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_Toc29517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w:t>
          </w:r>
          <w:r>
            <w:rPr>
              <w:rFonts w:hint="default" w:ascii="Times New Roman" w:hAnsi="Times New Roman" w:eastAsia="黑体" w:cs="Times New Roman"/>
              <w:kern w:val="0"/>
              <w:sz w:val="28"/>
              <w:szCs w:val="40"/>
              <w:highlight w:val="none"/>
            </w:rPr>
            <w:t>、废止现行相关标准的建议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_Toc29517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20</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AD6DE72">
          <w:pPr>
            <w:pStyle w:val="10"/>
            <w:tabs>
              <w:tab w:val="right" w:leader="dot" w:pos="8691"/>
            </w:tabs>
            <w:spacing w:line="480" w:lineRule="auto"/>
            <w:rPr>
              <w:rFonts w:hint="default" w:ascii="Times New Roman" w:hAnsi="Times New Roman" w:eastAsia="黑体" w:cs="Times New Roman"/>
              <w:sz w:val="36"/>
              <w:szCs w:val="36"/>
              <w:highlight w:val="none"/>
            </w:rPr>
            <w:sectPr>
              <w:footerReference r:id="rId3" w:type="default"/>
              <w:pgSz w:w="11906" w:h="16838"/>
              <w:pgMar w:top="1418" w:right="1418" w:bottom="1985" w:left="1797" w:header="851" w:footer="992" w:gutter="0"/>
              <w:pgNumType w:start="1"/>
              <w:cols w:space="425" w:num="1"/>
              <w:docGrid w:linePitch="312" w:charSpace="0"/>
            </w:sect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_Toc18435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十一</w:t>
          </w:r>
          <w:r>
            <w:rPr>
              <w:rFonts w:hint="default" w:ascii="Times New Roman" w:hAnsi="Times New Roman" w:eastAsia="黑体" w:cs="Times New Roman"/>
              <w:kern w:val="0"/>
              <w:sz w:val="28"/>
              <w:szCs w:val="40"/>
              <w:highlight w:val="none"/>
            </w:rPr>
            <w:t>、其他应予说明的事项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_Toc18435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20</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r>
            <w:rPr>
              <w:rFonts w:hint="default" w:ascii="Times New Roman" w:hAnsi="Times New Roman" w:eastAsia="黑体" w:cs="Times New Roman"/>
              <w:szCs w:val="32"/>
              <w:highlight w:val="none"/>
            </w:rPr>
            <w:fldChar w:fldCharType="end"/>
          </w:r>
        </w:p>
      </w:sdtContent>
    </w:sdt>
    <w:p w14:paraId="7FFE914C">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w:t>
      </w:r>
      <w:r>
        <w:rPr>
          <w:rFonts w:hint="default" w:ascii="Times New Roman" w:hAnsi="Times New Roman" w:eastAsia="黑体" w:cs="Times New Roman"/>
          <w:b/>
          <w:sz w:val="36"/>
          <w:szCs w:val="36"/>
          <w:highlight w:val="none"/>
          <w:lang w:val="en-US" w:eastAsia="zh-CN"/>
        </w:rPr>
        <w:t>鞋类企业ESG披露指南</w:t>
      </w:r>
      <w:r>
        <w:rPr>
          <w:rFonts w:hint="default" w:ascii="Times New Roman" w:hAnsi="Times New Roman" w:eastAsia="黑体" w:cs="Times New Roman"/>
          <w:b/>
          <w:sz w:val="36"/>
          <w:szCs w:val="36"/>
          <w:highlight w:val="none"/>
        </w:rPr>
        <w:t>》团体标准</w:t>
      </w:r>
    </w:p>
    <w:p w14:paraId="238FC466">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编制说明</w:t>
      </w:r>
    </w:p>
    <w:p w14:paraId="32BB7899">
      <w:pPr>
        <w:spacing w:line="360" w:lineRule="auto"/>
        <w:outlineLvl w:val="0"/>
        <w:rPr>
          <w:rFonts w:hint="default" w:ascii="Times New Roman" w:hAnsi="Times New Roman" w:eastAsia="黑体" w:cs="Times New Roman"/>
          <w:b/>
          <w:color w:val="000000" w:themeColor="text1"/>
          <w:sz w:val="30"/>
          <w:szCs w:val="30"/>
          <w:highlight w:val="none"/>
        </w:rPr>
      </w:pPr>
      <w:bookmarkStart w:id="0" w:name="_Toc19956"/>
      <w:r>
        <w:rPr>
          <w:rFonts w:hint="default" w:ascii="Times New Roman" w:hAnsi="Times New Roman" w:eastAsia="黑体" w:cs="Times New Roman"/>
          <w:b/>
          <w:sz w:val="30"/>
          <w:szCs w:val="30"/>
          <w:highlight w:val="none"/>
          <w:lang w:val="en-US" w:eastAsia="zh-CN"/>
        </w:rPr>
        <w:t>一</w:t>
      </w:r>
      <w:r>
        <w:rPr>
          <w:rFonts w:hint="default" w:ascii="Times New Roman" w:hAnsi="Times New Roman" w:eastAsia="黑体" w:cs="Times New Roman"/>
          <w:b/>
          <w:sz w:val="30"/>
          <w:szCs w:val="30"/>
          <w:highlight w:val="none"/>
        </w:rPr>
        <w:t>、工作简况</w:t>
      </w:r>
      <w:bookmarkEnd w:id="0"/>
    </w:p>
    <w:p w14:paraId="4153ABEE">
      <w:pPr>
        <w:spacing w:line="360" w:lineRule="auto"/>
        <w:outlineLvl w:val="2"/>
        <w:rPr>
          <w:rFonts w:hint="default" w:ascii="Times New Roman" w:hAnsi="Times New Roman" w:cs="Times New Roman"/>
          <w:b/>
          <w:color w:val="000000" w:themeColor="text1"/>
          <w:sz w:val="28"/>
          <w:szCs w:val="28"/>
          <w:highlight w:val="none"/>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一</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rPr>
        <w:t>任务来源</w:t>
      </w:r>
    </w:p>
    <w:p w14:paraId="3292D94B">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在全球可持续发展浪潮的推动下，环境、社会与治理（ESG）理念已成为企业战略规划与信息披露的核心框架。鞋类行业作为劳动密集型与资源依赖型产业的典型代表，其生产链条涉及皮革、橡胶等原材料开采、高能耗制造流程及跨境供应链管理，同时面临劳工权益保障、废弃物处理等社会与环境挑战。随着消费者环保意识提升、国际ESG监管标准更加严格，以及资本市场对ESG绩效的关联性投资决策倾向增强，鞋类企业亟需构建系统化的ESG披露体系，以回应利益相关方诉求、规避合规风险并提升品牌长期价值。</w:t>
      </w:r>
    </w:p>
    <w:p w14:paraId="0A7FCF68">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当前鞋类行业ESG披露普遍存在三大短板：其一，标准碎片化，企业多依赖通用性框架，但缺乏针对鞋类产业链特性的细分指标，导致披露内容可比性与实用性不足；其二，数据真实性存疑，部分企业因供应链分散、数字化程度低，难以精准追踪从原料采购到终端销售的全生命周期数据；其三，利益相关方参与机制缺失，披露过程往往由企业单方面主导，缺乏消费者、社区、员工等群体的实质性反馈，导致ESG议题优先级与企业实际社会影响脱节。</w:t>
      </w:r>
    </w:p>
    <w:p w14:paraId="44349C4E">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制定《鞋类企业ESG披露指南》具有多维战略价值。从行业层面看，其可推动鞋类企业建立统一、可量化的披露标准，促进产业链上下游协同减排、保障劳工权益，助力行业整体绿色转型；从企业视角出发，规范化的披露能提升信息透明度，增强投资者信心（如吸引ESG基金投资），同时通过识别供应链风险点优化运营效率；从社会效益维度，指南强调社区参与与消费者教育，可引导企业将社会责任融入品牌叙事，塑造差异化竞争优势，最终实现经济价值与社会价值的共生共荣。</w:t>
      </w:r>
    </w:p>
    <w:p w14:paraId="35E0E561">
      <w:pPr>
        <w:spacing w:line="360" w:lineRule="auto"/>
        <w:outlineLvl w:val="2"/>
        <w:rPr>
          <w:rFonts w:hint="default" w:ascii="Times New Roman" w:hAnsi="Times New Roman" w:cs="Times New Roman"/>
          <w:b/>
          <w:color w:val="000000" w:themeColor="text1"/>
          <w:sz w:val="28"/>
          <w:szCs w:val="28"/>
          <w:highlight w:val="none"/>
          <w:lang w:val="en-US" w:eastAsia="zh-CN"/>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二</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编制过程</w:t>
      </w:r>
    </w:p>
    <w:p w14:paraId="52851B2D">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为使本标准在</w:t>
      </w:r>
      <w:r>
        <w:rPr>
          <w:rFonts w:hint="default" w:ascii="Times New Roman" w:hAnsi="Times New Roman" w:cs="Times New Roman"/>
          <w:kern w:val="0"/>
          <w:sz w:val="28"/>
          <w:szCs w:val="28"/>
          <w:highlight w:val="none"/>
          <w:lang w:eastAsia="zh-CN"/>
        </w:rPr>
        <w:t>鞋类ESG披露</w:t>
      </w:r>
      <w:r>
        <w:rPr>
          <w:rFonts w:hint="default" w:ascii="Times New Roman" w:hAnsi="Times New Roman" w:cs="Times New Roman"/>
          <w:kern w:val="0"/>
          <w:sz w:val="28"/>
          <w:szCs w:val="28"/>
          <w:highlight w:val="none"/>
        </w:rPr>
        <w:t>市场管理工作中起到规范信息化管理作用，标准起草工作组力求科学性、可操作性，以科学、谨慎的态度，在对我国现有</w:t>
      </w:r>
      <w:r>
        <w:rPr>
          <w:rFonts w:hint="default" w:ascii="Times New Roman" w:hAnsi="Times New Roman" w:cs="Times New Roman"/>
          <w:kern w:val="0"/>
          <w:sz w:val="28"/>
          <w:szCs w:val="28"/>
          <w:highlight w:val="none"/>
          <w:lang w:eastAsia="zh-CN"/>
        </w:rPr>
        <w:t>鞋类ESG披露</w:t>
      </w:r>
      <w:r>
        <w:rPr>
          <w:rFonts w:hint="default" w:ascii="Times New Roman" w:hAnsi="Times New Roman" w:cs="Times New Roman"/>
          <w:kern w:val="0"/>
          <w:sz w:val="28"/>
          <w:szCs w:val="28"/>
          <w:highlight w:val="none"/>
        </w:rPr>
        <w:t>市场相关管理服务体系文件、模式基础上，经过综合分析、充分验证资料、反复讨论研究和修改，最终确定了本标准的主要内容。</w:t>
      </w:r>
    </w:p>
    <w:p w14:paraId="66ADFB06">
      <w:pPr>
        <w:snapToGrid w:val="0"/>
        <w:spacing w:line="360" w:lineRule="auto"/>
        <w:ind w:firstLine="560" w:firstLineChars="20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rPr>
        <w:t>标准起草工作组在标准起草期间主要开展工作情况如下</w:t>
      </w:r>
      <w:r>
        <w:rPr>
          <w:rFonts w:hint="default" w:ascii="Times New Roman" w:hAnsi="Times New Roman" w:cs="Times New Roman"/>
          <w:kern w:val="0"/>
          <w:sz w:val="28"/>
          <w:szCs w:val="28"/>
          <w:highlight w:val="none"/>
          <w:lang w:eastAsia="zh-CN"/>
        </w:rPr>
        <w:t>：</w:t>
      </w:r>
    </w:p>
    <w:p w14:paraId="48C5CE5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1、项目立项及理论研究阶段</w:t>
      </w:r>
    </w:p>
    <w:p w14:paraId="7812F042">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成立伊始就对国内外鞋类ESG披露相关情况进行了深入的调查研究，同时广泛搜集相关标准和国外技术资料，进行了大量的研究分析、资料查证工作，确定了鞋类ESG披露市场标准化管理中现存问题，结合现有产品实际应用经验，为标准起草奠定了基础。</w:t>
      </w:r>
    </w:p>
    <w:p w14:paraId="0B62E727">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标准起草组进一步研究了鞋类ESG披露需要具备的特殊条件，明确了技术要求和指标，为标准的具体起草指明了方向。</w:t>
      </w:r>
    </w:p>
    <w:p w14:paraId="1A0BE9F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2、标准起草阶段</w:t>
      </w:r>
    </w:p>
    <w:p w14:paraId="0D9D36EF">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在理论研究基础上，起草组在标准编制过程中充分借鉴已有的理论研究和实践成果，基于我国市场行情，经过数次修订，形成了《鞋类企业ESG披露指南》标准草案。</w:t>
      </w:r>
    </w:p>
    <w:p w14:paraId="33361A6C">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3、标准征求意见阶段</w:t>
      </w:r>
    </w:p>
    <w:p w14:paraId="52A25DE5">
      <w:pPr>
        <w:snapToGrid w:val="0"/>
        <w:spacing w:line="360" w:lineRule="auto"/>
        <w:ind w:firstLine="560" w:firstLineChars="200"/>
        <w:rPr>
          <w:rFonts w:hint="default" w:ascii="Times New Roman" w:hAnsi="Times New Roman" w:cs="Times New Roman" w:eastAsiaTheme="minorEastAsia"/>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形成标准草案之后，起草组召开了多次专家研讨会，从标准框架、标准起草等角度广泛征求多方意见，从理论完善和实践应用多方面提升标准的适用性和实用性。经过理论研究和方法验证，起草组形成了《鞋类企业ESG披露指南》（征求意见稿）。</w:t>
      </w:r>
    </w:p>
    <w:p w14:paraId="441EAAF5">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三</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主要起草单位及起草人所做的工作</w:t>
      </w:r>
    </w:p>
    <w:p w14:paraId="11CF23C7">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1、主要起草单位</w:t>
      </w:r>
    </w:p>
    <w:p w14:paraId="27ED38D4">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协会</w:t>
      </w:r>
      <w:r>
        <w:rPr>
          <w:rFonts w:hint="default" w:ascii="Times New Roman" w:hAnsi="Times New Roman" w:cs="Times New Roman"/>
          <w:kern w:val="0"/>
          <w:sz w:val="28"/>
          <w:szCs w:val="28"/>
          <w:highlight w:val="none"/>
          <w:lang w:eastAsia="zh-CN"/>
        </w:rPr>
        <w:t>、</w:t>
      </w:r>
      <w:r>
        <w:rPr>
          <w:rFonts w:hint="default" w:ascii="Times New Roman" w:hAnsi="Times New Roman" w:cs="Times New Roman"/>
          <w:kern w:val="0"/>
          <w:sz w:val="28"/>
          <w:szCs w:val="28"/>
          <w:highlight w:val="none"/>
          <w:lang w:val="en-US" w:eastAsia="zh-CN"/>
        </w:rPr>
        <w:t>企业</w:t>
      </w:r>
      <w:r>
        <w:rPr>
          <w:rFonts w:hint="default" w:ascii="Times New Roman" w:hAnsi="Times New Roman" w:cs="Times New Roman"/>
          <w:kern w:val="0"/>
          <w:sz w:val="28"/>
          <w:szCs w:val="28"/>
          <w:highlight w:val="none"/>
        </w:rPr>
        <w:t>等多家单位的专家成立了规范起草小组，开展标准的编制工作。</w:t>
      </w:r>
    </w:p>
    <w:p w14:paraId="4B45B32C">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经工作组的不懈努力，在202</w:t>
      </w:r>
      <w:r>
        <w:rPr>
          <w:rFonts w:hint="default" w:ascii="Times New Roman" w:hAnsi="Times New Roman" w:cs="Times New Roman"/>
          <w:kern w:val="0"/>
          <w:sz w:val="28"/>
          <w:szCs w:val="28"/>
          <w:highlight w:val="none"/>
          <w:lang w:val="en-US" w:eastAsia="zh-CN"/>
        </w:rPr>
        <w:t>5</w:t>
      </w:r>
      <w:r>
        <w:rPr>
          <w:rFonts w:hint="default" w:ascii="Times New Roman" w:hAnsi="Times New Roman" w:cs="Times New Roman"/>
          <w:kern w:val="0"/>
          <w:sz w:val="28"/>
          <w:szCs w:val="28"/>
          <w:highlight w:val="none"/>
        </w:rPr>
        <w:t>年</w:t>
      </w:r>
      <w:r>
        <w:rPr>
          <w:rFonts w:hint="eastAsia" w:ascii="Times New Roman" w:hAnsi="Times New Roman" w:cs="Times New Roman"/>
          <w:kern w:val="0"/>
          <w:sz w:val="28"/>
          <w:szCs w:val="28"/>
          <w:highlight w:val="none"/>
          <w:lang w:val="en-US" w:eastAsia="zh-CN"/>
        </w:rPr>
        <w:t>11</w:t>
      </w:r>
      <w:bookmarkStart w:id="58" w:name="_GoBack"/>
      <w:bookmarkEnd w:id="58"/>
      <w:r>
        <w:rPr>
          <w:rFonts w:hint="default" w:ascii="Times New Roman" w:hAnsi="Times New Roman" w:cs="Times New Roman"/>
          <w:kern w:val="0"/>
          <w:sz w:val="28"/>
          <w:szCs w:val="28"/>
          <w:highlight w:val="none"/>
        </w:rPr>
        <w:t>月，完成了标准征求意见稿的编写工作。</w:t>
      </w:r>
    </w:p>
    <w:p w14:paraId="095E3E1A">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2、起草人所做工作</w:t>
      </w:r>
    </w:p>
    <w:p w14:paraId="6A307C54">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广泛收集相关资料。在广泛调研、查阅和研究国际标准、国家标准、行业标准的基础之上，形成本标准草案稿。</w:t>
      </w:r>
    </w:p>
    <w:p w14:paraId="222E5BC3">
      <w:pPr>
        <w:spacing w:line="360" w:lineRule="auto"/>
        <w:outlineLvl w:val="0"/>
        <w:rPr>
          <w:rFonts w:hint="default" w:ascii="Times New Roman" w:hAnsi="Times New Roman" w:eastAsia="黑体" w:cs="Times New Roman"/>
          <w:b/>
          <w:sz w:val="30"/>
          <w:szCs w:val="30"/>
          <w:highlight w:val="none"/>
        </w:rPr>
      </w:pPr>
      <w:bookmarkStart w:id="1" w:name="_Toc16067"/>
      <w:r>
        <w:rPr>
          <w:rFonts w:hint="default" w:ascii="Times New Roman" w:hAnsi="Times New Roman" w:eastAsia="黑体" w:cs="Times New Roman"/>
          <w:b/>
          <w:sz w:val="30"/>
          <w:szCs w:val="30"/>
          <w:highlight w:val="none"/>
          <w:lang w:val="en-US" w:eastAsia="zh-CN"/>
        </w:rPr>
        <w:t>二</w:t>
      </w:r>
      <w:r>
        <w:rPr>
          <w:rFonts w:hint="default" w:ascii="Times New Roman" w:hAnsi="Times New Roman" w:eastAsia="黑体" w:cs="Times New Roman"/>
          <w:b/>
          <w:sz w:val="30"/>
          <w:szCs w:val="30"/>
          <w:highlight w:val="none"/>
        </w:rPr>
        <w:t>、标准编制原则</w:t>
      </w:r>
      <w:r>
        <w:rPr>
          <w:rFonts w:hint="default" w:ascii="Times New Roman" w:hAnsi="Times New Roman" w:eastAsia="黑体" w:cs="Times New Roman"/>
          <w:b/>
          <w:sz w:val="30"/>
          <w:szCs w:val="30"/>
          <w:highlight w:val="none"/>
          <w:lang w:val="en-US" w:eastAsia="zh-CN"/>
        </w:rPr>
        <w:t>和</w:t>
      </w:r>
      <w:r>
        <w:rPr>
          <w:rFonts w:hint="default" w:ascii="Times New Roman" w:hAnsi="Times New Roman" w:eastAsia="黑体" w:cs="Times New Roman"/>
          <w:b/>
          <w:sz w:val="30"/>
          <w:szCs w:val="30"/>
          <w:highlight w:val="none"/>
        </w:rPr>
        <w:t>主要内容</w:t>
      </w:r>
      <w:bookmarkEnd w:id="1"/>
    </w:p>
    <w:p w14:paraId="78E72378">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一</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标准编制原则</w:t>
      </w:r>
    </w:p>
    <w:p w14:paraId="56D121DA">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7FDD6A61">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二</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标准主要技术内容</w:t>
      </w:r>
    </w:p>
    <w:p w14:paraId="0DB2C603">
      <w:pPr>
        <w:bidi w:val="0"/>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本标准报批稿包括8个部分，主要内容如下：</w:t>
      </w:r>
    </w:p>
    <w:p w14:paraId="3D70AF4B">
      <w:pPr>
        <w:pStyle w:val="37"/>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 w:name="_Toc17233333"/>
      <w:bookmarkStart w:id="3" w:name="_Toc210050458"/>
      <w:bookmarkStart w:id="4" w:name="_Toc26648465"/>
      <w:bookmarkStart w:id="5" w:name="_Toc24884211"/>
      <w:bookmarkStart w:id="6" w:name="_Toc24884218"/>
      <w:bookmarkStart w:id="7" w:name="_Toc26986530"/>
      <w:bookmarkStart w:id="8" w:name="_Toc97192964"/>
      <w:bookmarkStart w:id="9" w:name="_Toc26718930"/>
      <w:bookmarkStart w:id="10" w:name="_Toc17233325"/>
      <w:bookmarkStart w:id="11" w:name="_Toc208322775"/>
      <w:bookmarkStart w:id="12" w:name="_Toc210050362"/>
      <w:bookmarkStart w:id="13" w:name="_Toc26986771"/>
      <w:r>
        <w:rPr>
          <w:rFonts w:hint="default" w:ascii="Times New Roman" w:hAnsi="Times New Roman" w:cs="Times New Roman"/>
          <w:sz w:val="28"/>
          <w:szCs w:val="28"/>
          <w:highlight w:val="none"/>
          <w:lang w:eastAsia="zh-CN"/>
        </w:rPr>
        <w:t>范围</w:t>
      </w:r>
      <w:bookmarkEnd w:id="2"/>
      <w:bookmarkEnd w:id="3"/>
      <w:bookmarkEnd w:id="4"/>
      <w:bookmarkEnd w:id="5"/>
      <w:bookmarkEnd w:id="6"/>
      <w:bookmarkEnd w:id="7"/>
      <w:bookmarkEnd w:id="8"/>
      <w:bookmarkEnd w:id="9"/>
      <w:bookmarkEnd w:id="10"/>
      <w:bookmarkEnd w:id="11"/>
      <w:bookmarkEnd w:id="12"/>
      <w:bookmarkEnd w:id="13"/>
    </w:p>
    <w:p w14:paraId="719A582B">
      <w:pPr>
        <w:pStyle w:val="35"/>
        <w:widowControl/>
        <w:spacing w:line="360" w:lineRule="auto"/>
        <w:ind w:left="0" w:firstLine="420"/>
        <w:rPr>
          <w:rFonts w:hint="default" w:ascii="Times New Roman" w:hAnsi="Times New Roman" w:cs="Times New Roman"/>
          <w:sz w:val="28"/>
          <w:szCs w:val="28"/>
          <w:highlight w:val="none"/>
          <w:lang w:val="en-US"/>
        </w:rPr>
      </w:pPr>
      <w:bookmarkStart w:id="14" w:name="_Toc24884212"/>
      <w:bookmarkStart w:id="15" w:name="_Toc26648466"/>
      <w:bookmarkStart w:id="16" w:name="_Toc17233326"/>
      <w:bookmarkStart w:id="17" w:name="_Toc17233334"/>
      <w:bookmarkStart w:id="18" w:name="_Toc24884219"/>
      <w:r>
        <w:rPr>
          <w:rFonts w:hint="default" w:ascii="Times New Roman" w:hAnsi="Times New Roman" w:cs="Times New Roman"/>
          <w:sz w:val="28"/>
          <w:szCs w:val="28"/>
          <w:highlight w:val="none"/>
          <w:lang w:eastAsia="zh-CN"/>
        </w:rPr>
        <w:t>本文件规定了鞋类企业</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披露的术语和定义、披露原则、披露指标体系、披露要求与实施、信息核验与报告应用、责任与监督。</w:t>
      </w:r>
    </w:p>
    <w:p w14:paraId="7B83E08A">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本文件适用于鞋类企业</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披露。</w:t>
      </w:r>
    </w:p>
    <w:p w14:paraId="11A076BC">
      <w:pPr>
        <w:pStyle w:val="37"/>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19" w:name="_Toc208322776"/>
      <w:bookmarkStart w:id="20" w:name="_Toc26986531"/>
      <w:bookmarkStart w:id="21" w:name="_Toc26718931"/>
      <w:bookmarkStart w:id="22" w:name="_Toc26986772"/>
      <w:bookmarkStart w:id="23" w:name="_Toc97192965"/>
      <w:bookmarkStart w:id="24" w:name="_Toc210050363"/>
      <w:bookmarkStart w:id="25" w:name="_Toc210050459"/>
      <w:r>
        <w:rPr>
          <w:rFonts w:hint="default" w:ascii="Times New Roman" w:hAnsi="Times New Roman" w:cs="Times New Roman"/>
          <w:sz w:val="28"/>
          <w:szCs w:val="28"/>
          <w:highlight w:val="none"/>
          <w:lang w:eastAsia="zh-CN"/>
        </w:rPr>
        <w:t>规范性引用文件</w:t>
      </w:r>
      <w:bookmarkEnd w:id="14"/>
      <w:bookmarkEnd w:id="15"/>
      <w:bookmarkEnd w:id="16"/>
      <w:bookmarkEnd w:id="17"/>
      <w:bookmarkEnd w:id="18"/>
      <w:bookmarkEnd w:id="19"/>
      <w:bookmarkEnd w:id="20"/>
      <w:bookmarkEnd w:id="21"/>
      <w:bookmarkEnd w:id="22"/>
      <w:bookmarkEnd w:id="23"/>
      <w:bookmarkEnd w:id="24"/>
      <w:bookmarkEnd w:id="25"/>
    </w:p>
    <w:p w14:paraId="789812C9">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A6BCB80">
      <w:pPr>
        <w:pStyle w:val="35"/>
        <w:widowControl/>
        <w:spacing w:line="360" w:lineRule="auto"/>
        <w:ind w:left="0" w:firstLine="420"/>
        <w:rPr>
          <w:rFonts w:hint="default" w:ascii="Times New Roman" w:hAnsi="Times New Roman" w:cs="Times New Roman"/>
          <w:sz w:val="28"/>
          <w:szCs w:val="28"/>
          <w:highlight w:val="none"/>
          <w:lang w:val="en-US"/>
        </w:rPr>
      </w:pPr>
      <w:bookmarkStart w:id="26" w:name="_Hlk208320910"/>
      <w:r>
        <w:rPr>
          <w:rFonts w:hint="default" w:ascii="Times New Roman" w:hAnsi="Times New Roman" w:cs="Times New Roman"/>
          <w:sz w:val="28"/>
          <w:szCs w:val="28"/>
          <w:highlight w:val="none"/>
          <w:lang w:val="en-US"/>
        </w:rPr>
        <w:t xml:space="preserve">GB/T 23331 </w:t>
      </w:r>
      <w:r>
        <w:rPr>
          <w:rFonts w:hint="default" w:ascii="Times New Roman" w:hAnsi="Times New Roman" w:cs="Times New Roman"/>
          <w:sz w:val="28"/>
          <w:szCs w:val="28"/>
          <w:highlight w:val="none"/>
          <w:lang w:eastAsia="zh-CN"/>
        </w:rPr>
        <w:t>能源管理体系 要求及使用指南</w:t>
      </w:r>
    </w:p>
    <w:p w14:paraId="13486777">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24001 </w:t>
      </w:r>
      <w:r>
        <w:rPr>
          <w:rFonts w:hint="default" w:ascii="Times New Roman" w:hAnsi="Times New Roman" w:cs="Times New Roman"/>
          <w:sz w:val="28"/>
          <w:szCs w:val="28"/>
          <w:highlight w:val="none"/>
          <w:lang w:eastAsia="zh-CN"/>
        </w:rPr>
        <w:t>环境管理体系 要求及使用指南</w:t>
      </w:r>
    </w:p>
    <w:p w14:paraId="3FB21941">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36000 </w:t>
      </w:r>
      <w:r>
        <w:rPr>
          <w:rFonts w:hint="default" w:ascii="Times New Roman" w:hAnsi="Times New Roman" w:cs="Times New Roman"/>
          <w:sz w:val="28"/>
          <w:szCs w:val="28"/>
          <w:highlight w:val="none"/>
          <w:lang w:eastAsia="zh-CN"/>
        </w:rPr>
        <w:t>社会责任指南</w:t>
      </w:r>
    </w:p>
    <w:bookmarkEnd w:id="26"/>
    <w:p w14:paraId="0EED52F9">
      <w:pPr>
        <w:pStyle w:val="35"/>
        <w:widowControl/>
        <w:spacing w:line="360" w:lineRule="auto"/>
        <w:ind w:left="0" w:firstLine="420"/>
        <w:rPr>
          <w:rFonts w:hint="default" w:ascii="Times New Roman" w:hAnsi="Times New Roman" w:cs="Times New Roman"/>
          <w:sz w:val="28"/>
          <w:szCs w:val="28"/>
          <w:highlight w:val="none"/>
          <w:lang w:val="en-US"/>
        </w:rPr>
      </w:pPr>
      <w:bookmarkStart w:id="27" w:name="_Hlk208321115"/>
      <w:r>
        <w:rPr>
          <w:rFonts w:hint="default" w:ascii="Times New Roman" w:hAnsi="Times New Roman" w:cs="Times New Roman"/>
          <w:sz w:val="28"/>
          <w:szCs w:val="28"/>
          <w:highlight w:val="none"/>
          <w:lang w:val="en-US"/>
        </w:rPr>
        <w:t>GB/T 36001</w:t>
      </w:r>
      <w:bookmarkEnd w:id="27"/>
      <w:r>
        <w:rPr>
          <w:rFonts w:hint="default" w:ascii="Times New Roman" w:hAnsi="Times New Roman" w:cs="Times New Roman"/>
          <w:sz w:val="28"/>
          <w:szCs w:val="28"/>
          <w:highlight w:val="none"/>
          <w:lang w:val="en-US"/>
        </w:rPr>
        <w:t xml:space="preserve"> </w:t>
      </w:r>
      <w:r>
        <w:rPr>
          <w:rFonts w:hint="default" w:ascii="Times New Roman" w:hAnsi="Times New Roman" w:cs="Times New Roman"/>
          <w:sz w:val="28"/>
          <w:szCs w:val="28"/>
          <w:highlight w:val="none"/>
          <w:lang w:eastAsia="zh-CN"/>
        </w:rPr>
        <w:t>社会责任报告编写指南</w:t>
      </w:r>
    </w:p>
    <w:p w14:paraId="2E22AE64">
      <w:pPr>
        <w:pStyle w:val="37"/>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8" w:name="_Toc210050460"/>
      <w:bookmarkStart w:id="29" w:name="_Toc97192966"/>
      <w:bookmarkStart w:id="30" w:name="_Toc210050364"/>
      <w:bookmarkStart w:id="31" w:name="_Toc208322777"/>
      <w:r>
        <w:rPr>
          <w:rFonts w:hint="default" w:ascii="Times New Roman" w:hAnsi="Times New Roman" w:cs="Times New Roman"/>
          <w:sz w:val="28"/>
          <w:szCs w:val="28"/>
          <w:highlight w:val="none"/>
          <w:lang w:eastAsia="zh-CN"/>
        </w:rPr>
        <w:t>术语和定义</w:t>
      </w:r>
      <w:bookmarkEnd w:id="28"/>
      <w:bookmarkEnd w:id="29"/>
      <w:bookmarkEnd w:id="30"/>
      <w:bookmarkEnd w:id="31"/>
    </w:p>
    <w:p w14:paraId="7B9C2DA0">
      <w:pPr>
        <w:pStyle w:val="35"/>
        <w:widowControl/>
        <w:spacing w:line="360" w:lineRule="auto"/>
        <w:ind w:left="0" w:firstLine="420"/>
        <w:rPr>
          <w:rFonts w:hint="default" w:ascii="Times New Roman" w:hAnsi="Times New Roman" w:cs="Times New Roman"/>
          <w:sz w:val="28"/>
          <w:szCs w:val="28"/>
          <w:highlight w:val="none"/>
          <w:lang w:val="en-US"/>
        </w:rPr>
      </w:pPr>
      <w:bookmarkStart w:id="32" w:name="_Toc26986532"/>
      <w:bookmarkEnd w:id="32"/>
      <w:r>
        <w:rPr>
          <w:rFonts w:hint="default" w:ascii="Times New Roman" w:hAnsi="Times New Roman" w:cs="Times New Roman"/>
          <w:sz w:val="28"/>
          <w:szCs w:val="28"/>
          <w:highlight w:val="none"/>
          <w:lang w:val="en-US"/>
        </w:rPr>
        <w:t>GB/T 23331</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GB/T 24001</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GB/T 36000</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GB/T 36001</w:t>
      </w:r>
      <w:r>
        <w:rPr>
          <w:rFonts w:hint="default" w:ascii="Times New Roman" w:hAnsi="Times New Roman" w:cs="Times New Roman"/>
          <w:sz w:val="28"/>
          <w:szCs w:val="28"/>
          <w:highlight w:val="none"/>
          <w:lang w:eastAsia="zh-CN"/>
        </w:rPr>
        <w:t>界定的以及下列术语和定义适用于本文件。</w:t>
      </w:r>
    </w:p>
    <w:p w14:paraId="7AB39938">
      <w:pPr>
        <w:pStyle w:val="43"/>
        <w:widowControl/>
        <w:numPr>
          <w:ilvl w:val="2"/>
          <w:numId w:val="2"/>
        </w:numPr>
        <w:tabs>
          <w:tab w:val="left" w:pos="420"/>
          <w:tab w:val="clear" w:pos="1417"/>
        </w:tabs>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val="en-US"/>
        </w:rPr>
        <w:t>ESG  Environmental Social Governance</w:t>
      </w:r>
    </w:p>
    <w:p w14:paraId="176E9001">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环境、社会和治理的英文首字母缩写，是一种关注企业环境、社会、治理绩效而非财务绩效的投资理念和企业评价标准。</w:t>
      </w:r>
    </w:p>
    <w:p w14:paraId="4D29E0B3">
      <w:pPr>
        <w:pStyle w:val="43"/>
        <w:widowControl/>
        <w:numPr>
          <w:ilvl w:val="2"/>
          <w:numId w:val="2"/>
        </w:numPr>
        <w:tabs>
          <w:tab w:val="left" w:pos="420"/>
          <w:tab w:val="clear" w:pos="1417"/>
        </w:tabs>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利益相关方</w:t>
      </w:r>
      <w:r>
        <w:rPr>
          <w:rFonts w:hint="default" w:ascii="Times New Roman" w:hAnsi="Times New Roman" w:eastAsia="黑体" w:cs="Times New Roman"/>
          <w:sz w:val="28"/>
          <w:szCs w:val="28"/>
          <w:highlight w:val="none"/>
          <w:lang w:val="en-US"/>
        </w:rPr>
        <w:t xml:space="preserve"> stakeholder</w:t>
      </w:r>
    </w:p>
    <w:p w14:paraId="6C9767AC">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能够影响企业决策和活动、受企业决策和活动影响，或感觉自身受到企业决策和活动影响的个人或群体。</w:t>
      </w:r>
    </w:p>
    <w:p w14:paraId="5387A7E3">
      <w:pPr>
        <w:pStyle w:val="43"/>
        <w:widowControl/>
        <w:numPr>
          <w:ilvl w:val="2"/>
          <w:numId w:val="2"/>
        </w:numPr>
        <w:tabs>
          <w:tab w:val="left" w:pos="420"/>
          <w:tab w:val="clear" w:pos="1417"/>
        </w:tabs>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碳足迹</w:t>
      </w:r>
      <w:r>
        <w:rPr>
          <w:rFonts w:hint="default" w:ascii="Times New Roman" w:hAnsi="Times New Roman" w:eastAsia="黑体" w:cs="Times New Roman"/>
          <w:sz w:val="28"/>
          <w:szCs w:val="28"/>
          <w:highlight w:val="none"/>
          <w:lang w:val="en-US"/>
        </w:rPr>
        <w:t xml:space="preserve"> carbon footprint</w:t>
      </w:r>
    </w:p>
    <w:p w14:paraId="32FCD425">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衡量产品在整个生命周期中（从原材料获取到生产、分销、使用和废弃处理）直接和间接产生的温室气体排放量的指标。</w:t>
      </w:r>
    </w:p>
    <w:p w14:paraId="63696DC4">
      <w:pPr>
        <w:pStyle w:val="37"/>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3" w:name="_Toc210050461"/>
      <w:bookmarkStart w:id="34" w:name="_Toc208322778"/>
      <w:bookmarkStart w:id="35" w:name="_Toc210050365"/>
      <w:r>
        <w:rPr>
          <w:rFonts w:hint="default" w:ascii="Times New Roman" w:hAnsi="Times New Roman" w:cs="Times New Roman"/>
          <w:sz w:val="28"/>
          <w:szCs w:val="28"/>
          <w:highlight w:val="none"/>
          <w:lang w:eastAsia="zh-CN"/>
        </w:rPr>
        <w:t>披露原则</w:t>
      </w:r>
      <w:bookmarkEnd w:id="33"/>
      <w:bookmarkEnd w:id="34"/>
      <w:bookmarkEnd w:id="35"/>
    </w:p>
    <w:p w14:paraId="1E890630">
      <w:pPr>
        <w:pStyle w:val="41"/>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实质性</w:t>
      </w:r>
    </w:p>
    <w:p w14:paraId="52F6A328">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优先披露对企业经营和利益相关方决策有重大影响的</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因素。鞋类企业应重点关注材料可持续性、供应链劳工权益、化学品管理、碳足迹等行业关键议题。</w:t>
      </w:r>
    </w:p>
    <w:p w14:paraId="5F3916AB">
      <w:pPr>
        <w:pStyle w:val="41"/>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准确性</w:t>
      </w:r>
    </w:p>
    <w:p w14:paraId="097B72A0">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披露信息应真实、准确、完整，有可靠数据来源和计算方法支持，必要时引入第三方核验。</w:t>
      </w:r>
    </w:p>
    <w:p w14:paraId="2977C226">
      <w:pPr>
        <w:pStyle w:val="41"/>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及时性</w:t>
      </w:r>
    </w:p>
    <w:p w14:paraId="73C6FEA3">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企业应定期披露</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信息，至少每年一次，并及时公布重大</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相关事件和进展。</w:t>
      </w:r>
    </w:p>
    <w:p w14:paraId="63F42B3F">
      <w:pPr>
        <w:pStyle w:val="41"/>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可比性</w:t>
      </w:r>
    </w:p>
    <w:p w14:paraId="7BD4F56A">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披露信息应保持连续性和一致性，使用标准化指标和计算方法，便于纵向和横向比较。</w:t>
      </w:r>
    </w:p>
    <w:p w14:paraId="7D1AD32C">
      <w:pPr>
        <w:pStyle w:val="41"/>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透明性</w:t>
      </w:r>
    </w:p>
    <w:p w14:paraId="54C508AD">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信息披露应清晰、明确、易于理解，避免选择性披露和误导性陈述，保护商业秘密的同时确保关键信息的透明度。</w:t>
      </w:r>
    </w:p>
    <w:p w14:paraId="2E18B3AE">
      <w:pPr>
        <w:pStyle w:val="37"/>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6" w:name="_Toc210050462"/>
      <w:bookmarkStart w:id="37" w:name="_Toc208322779"/>
      <w:bookmarkStart w:id="38" w:name="_Toc210050366"/>
      <w:r>
        <w:rPr>
          <w:rFonts w:hint="default" w:ascii="Times New Roman" w:hAnsi="Times New Roman" w:cs="Times New Roman"/>
          <w:sz w:val="28"/>
          <w:szCs w:val="28"/>
          <w:highlight w:val="none"/>
          <w:lang w:eastAsia="zh-CN"/>
        </w:rPr>
        <w:t>披露指标体系</w:t>
      </w:r>
      <w:bookmarkEnd w:id="36"/>
      <w:bookmarkEnd w:id="37"/>
      <w:bookmarkEnd w:id="38"/>
    </w:p>
    <w:p w14:paraId="20799594">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鞋类企业</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披露应包含环境、社会和治理三大维度，下设一级指标、二级指标和具体测量指标，详见表</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w:t>
      </w:r>
    </w:p>
    <w:p w14:paraId="4B26598F">
      <w:pPr>
        <w:pStyle w:val="39"/>
        <w:widowControl/>
        <w:numPr>
          <w:ilvl w:val="0"/>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鞋类企业</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披露指标体系</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789"/>
        <w:gridCol w:w="1593"/>
        <w:gridCol w:w="2250"/>
        <w:gridCol w:w="1183"/>
        <w:gridCol w:w="2896"/>
      </w:tblGrid>
      <w:tr w14:paraId="4C3B07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502" w:hRule="atLeast"/>
          <w:tblHeader/>
          <w:jc w:val="center"/>
        </w:trPr>
        <w:tc>
          <w:tcPr>
            <w:tcW w:w="841" w:type="dxa"/>
            <w:tcBorders>
              <w:top w:val="single" w:color="auto" w:sz="8" w:space="0"/>
              <w:left w:val="single" w:color="auto" w:sz="8" w:space="0"/>
              <w:bottom w:val="single" w:color="auto" w:sz="8" w:space="0"/>
              <w:right w:val="single" w:color="auto" w:sz="4" w:space="0"/>
            </w:tcBorders>
            <w:shd w:val="clear" w:color="auto" w:fill="auto"/>
            <w:vAlign w:val="center"/>
          </w:tcPr>
          <w:p w14:paraId="46ACC109">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一级指标</w:t>
            </w:r>
          </w:p>
        </w:tc>
        <w:tc>
          <w:tcPr>
            <w:tcW w:w="1702" w:type="dxa"/>
            <w:tcBorders>
              <w:top w:val="single" w:color="auto" w:sz="8" w:space="0"/>
              <w:left w:val="single" w:color="auto" w:sz="4" w:space="0"/>
              <w:bottom w:val="single" w:color="auto" w:sz="8" w:space="0"/>
              <w:right w:val="single" w:color="auto" w:sz="4" w:space="0"/>
            </w:tcBorders>
            <w:shd w:val="clear" w:color="auto" w:fill="auto"/>
            <w:vAlign w:val="center"/>
          </w:tcPr>
          <w:p w14:paraId="22615443">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二级指标</w:t>
            </w:r>
          </w:p>
        </w:tc>
        <w:tc>
          <w:tcPr>
            <w:tcW w:w="2410" w:type="dxa"/>
            <w:tcBorders>
              <w:top w:val="single" w:color="auto" w:sz="8" w:space="0"/>
              <w:left w:val="single" w:color="auto" w:sz="4" w:space="0"/>
              <w:bottom w:val="single" w:color="auto" w:sz="8" w:space="0"/>
              <w:right w:val="single" w:color="auto" w:sz="4" w:space="0"/>
            </w:tcBorders>
            <w:shd w:val="clear" w:color="auto" w:fill="auto"/>
            <w:vAlign w:val="center"/>
          </w:tcPr>
          <w:p w14:paraId="5DA8DB16">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三级指标</w:t>
            </w:r>
          </w:p>
        </w:tc>
        <w:tc>
          <w:tcPr>
            <w:tcW w:w="1275" w:type="dxa"/>
            <w:tcBorders>
              <w:top w:val="single" w:color="auto" w:sz="8" w:space="0"/>
              <w:left w:val="single" w:color="auto" w:sz="4" w:space="0"/>
              <w:bottom w:val="single" w:color="auto" w:sz="8" w:space="0"/>
              <w:right w:val="single" w:color="auto" w:sz="4" w:space="0"/>
            </w:tcBorders>
            <w:shd w:val="clear" w:color="auto" w:fill="auto"/>
            <w:vAlign w:val="center"/>
          </w:tcPr>
          <w:p w14:paraId="31F6CFF7">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指标性质</w:t>
            </w:r>
          </w:p>
        </w:tc>
        <w:tc>
          <w:tcPr>
            <w:tcW w:w="3107" w:type="dxa"/>
            <w:tcBorders>
              <w:top w:val="single" w:color="auto" w:sz="8" w:space="0"/>
              <w:left w:val="single" w:color="auto" w:sz="4" w:space="0"/>
              <w:bottom w:val="single" w:color="auto" w:sz="8" w:space="0"/>
              <w:right w:val="single" w:color="auto" w:sz="8" w:space="0"/>
            </w:tcBorders>
            <w:shd w:val="clear" w:color="auto" w:fill="auto"/>
            <w:vAlign w:val="center"/>
          </w:tcPr>
          <w:p w14:paraId="73FBD381">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指标说明</w:t>
            </w:r>
          </w:p>
        </w:tc>
      </w:tr>
      <w:tr w14:paraId="4AA63F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56" w:hRule="atLeast"/>
          <w:jc w:val="center"/>
        </w:trPr>
        <w:tc>
          <w:tcPr>
            <w:tcW w:w="841"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83DC648">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E </w:t>
            </w:r>
            <w:r>
              <w:rPr>
                <w:rFonts w:hint="default" w:ascii="Times New Roman" w:hAnsi="Times New Roman" w:cs="Times New Roman"/>
                <w:sz w:val="28"/>
                <w:szCs w:val="28"/>
                <w:highlight w:val="none"/>
              </w:rPr>
              <w:t>环境</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A77552">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E1 </w:t>
            </w:r>
            <w:r>
              <w:rPr>
                <w:rFonts w:hint="default" w:ascii="Times New Roman" w:hAnsi="Times New Roman" w:cs="Times New Roman"/>
                <w:sz w:val="28"/>
                <w:szCs w:val="28"/>
                <w:highlight w:val="none"/>
              </w:rPr>
              <w:t>气候变化</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628AB885">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E1.1 </w:t>
            </w:r>
            <w:r>
              <w:rPr>
                <w:rFonts w:hint="default" w:ascii="Times New Roman" w:hAnsi="Times New Roman" w:cs="Times New Roman"/>
                <w:sz w:val="28"/>
                <w:szCs w:val="28"/>
                <w:highlight w:val="none"/>
              </w:rPr>
              <w:t>温室气体排放总量</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D860379">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定量</w:t>
            </w:r>
          </w:p>
        </w:tc>
        <w:tc>
          <w:tcPr>
            <w:tcW w:w="3107" w:type="dxa"/>
            <w:tcBorders>
              <w:top w:val="single" w:color="auto" w:sz="4" w:space="0"/>
              <w:left w:val="single" w:color="auto" w:sz="4" w:space="0"/>
              <w:bottom w:val="single" w:color="auto" w:sz="4" w:space="0"/>
              <w:right w:val="single" w:color="auto" w:sz="8" w:space="0"/>
            </w:tcBorders>
            <w:shd w:val="clear" w:color="auto" w:fill="auto"/>
            <w:vAlign w:val="center"/>
          </w:tcPr>
          <w:p w14:paraId="3850CDAA">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披露按《温室气体议定书》标准核算的范围一、范围二及范围三的碳排放总量（单位：吨二氧化碳当量）</w:t>
            </w:r>
          </w:p>
          <w:p w14:paraId="39DD13BD">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范围三包含原材料、产品运输、废弃物处理等环节</w:t>
            </w:r>
          </w:p>
        </w:tc>
      </w:tr>
      <w:tr w14:paraId="4564F1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84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4968F1F9">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0DC3FC">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597D5759">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E1.2 </w:t>
            </w:r>
            <w:r>
              <w:rPr>
                <w:rFonts w:hint="default" w:ascii="Times New Roman" w:hAnsi="Times New Roman" w:cs="Times New Roman"/>
                <w:sz w:val="28"/>
                <w:szCs w:val="28"/>
                <w:highlight w:val="none"/>
              </w:rPr>
              <w:t>单位产值</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产品碳强度</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6BEB142">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定量</w:t>
            </w:r>
          </w:p>
        </w:tc>
        <w:tc>
          <w:tcPr>
            <w:tcW w:w="3107" w:type="dxa"/>
            <w:tcBorders>
              <w:top w:val="single" w:color="auto" w:sz="4" w:space="0"/>
              <w:left w:val="single" w:color="auto" w:sz="4" w:space="0"/>
              <w:bottom w:val="single" w:color="auto" w:sz="4" w:space="0"/>
              <w:right w:val="single" w:color="auto" w:sz="8" w:space="0"/>
            </w:tcBorders>
            <w:shd w:val="clear" w:color="auto" w:fill="auto"/>
            <w:vAlign w:val="center"/>
          </w:tcPr>
          <w:p w14:paraId="5181D489">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温室气体排放总量与总产值或总产量（双</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吨）的比值，衡量企业的碳排放效率</w:t>
            </w:r>
          </w:p>
        </w:tc>
      </w:tr>
      <w:tr w14:paraId="63DEDD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75" w:hRule="atLeast"/>
          <w:jc w:val="center"/>
        </w:trPr>
        <w:tc>
          <w:tcPr>
            <w:tcW w:w="84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33D317CA">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5E6B3B">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65891EEF">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E1.3 </w:t>
            </w:r>
            <w:r>
              <w:rPr>
                <w:rFonts w:hint="default" w:ascii="Times New Roman" w:hAnsi="Times New Roman" w:cs="Times New Roman"/>
                <w:sz w:val="28"/>
                <w:szCs w:val="28"/>
                <w:highlight w:val="none"/>
              </w:rPr>
              <w:t>碳中和目标与路径</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24DBF5B">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定性</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定量</w:t>
            </w:r>
          </w:p>
        </w:tc>
        <w:tc>
          <w:tcPr>
            <w:tcW w:w="3107" w:type="dxa"/>
            <w:tcBorders>
              <w:top w:val="single" w:color="auto" w:sz="4" w:space="0"/>
              <w:left w:val="single" w:color="auto" w:sz="4" w:space="0"/>
              <w:bottom w:val="single" w:color="auto" w:sz="4" w:space="0"/>
              <w:right w:val="single" w:color="auto" w:sz="8" w:space="0"/>
            </w:tcBorders>
            <w:shd w:val="clear" w:color="auto" w:fill="auto"/>
            <w:vAlign w:val="center"/>
          </w:tcPr>
          <w:p w14:paraId="21AC8B5A">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披露是否制定科学的碳中和时间表、路线图（如基于</w:t>
            </w:r>
            <w:r>
              <w:rPr>
                <w:rFonts w:hint="default" w:ascii="Times New Roman" w:hAnsi="Times New Roman" w:cs="Times New Roman"/>
                <w:sz w:val="28"/>
                <w:szCs w:val="28"/>
                <w:highlight w:val="none"/>
                <w:lang w:val="en-US"/>
              </w:rPr>
              <w:t>SBTi</w:t>
            </w:r>
            <w:r>
              <w:rPr>
                <w:rFonts w:hint="default" w:ascii="Times New Roman" w:hAnsi="Times New Roman" w:cs="Times New Roman"/>
                <w:sz w:val="28"/>
                <w:szCs w:val="28"/>
                <w:highlight w:val="none"/>
              </w:rPr>
              <w:t>标准）及阶段性进展</w:t>
            </w:r>
          </w:p>
        </w:tc>
      </w:tr>
      <w:tr w14:paraId="66E206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45" w:hRule="atLeast"/>
          <w:jc w:val="center"/>
        </w:trPr>
        <w:tc>
          <w:tcPr>
            <w:tcW w:w="84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33B760D1">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CFEE7A">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E2 </w:t>
            </w:r>
            <w:r>
              <w:rPr>
                <w:rFonts w:hint="default" w:ascii="Times New Roman" w:hAnsi="Times New Roman" w:cs="Times New Roman"/>
                <w:sz w:val="28"/>
                <w:szCs w:val="28"/>
                <w:highlight w:val="none"/>
              </w:rPr>
              <w:t>污染防控</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518AC580">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E2.1 </w:t>
            </w:r>
            <w:r>
              <w:rPr>
                <w:rFonts w:hint="default" w:ascii="Times New Roman" w:hAnsi="Times New Roman" w:cs="Times New Roman"/>
                <w:sz w:val="28"/>
                <w:szCs w:val="28"/>
                <w:highlight w:val="none"/>
              </w:rPr>
              <w:t>废水排放量及</w:t>
            </w:r>
            <w:r>
              <w:rPr>
                <w:rFonts w:hint="default" w:ascii="Times New Roman" w:hAnsi="Times New Roman" w:cs="Times New Roman"/>
                <w:sz w:val="28"/>
                <w:szCs w:val="28"/>
                <w:highlight w:val="none"/>
                <w:lang w:val="en-US"/>
              </w:rPr>
              <w:t xml:space="preserve"> COD/</w:t>
            </w:r>
            <w:r>
              <w:rPr>
                <w:rFonts w:hint="default" w:ascii="Times New Roman" w:hAnsi="Times New Roman" w:cs="Times New Roman"/>
                <w:sz w:val="28"/>
                <w:szCs w:val="28"/>
                <w:highlight w:val="none"/>
              </w:rPr>
              <w:t>总氮</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总磷等关键污染物浓度</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21EB77F">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定量</w:t>
            </w:r>
          </w:p>
        </w:tc>
        <w:tc>
          <w:tcPr>
            <w:tcW w:w="3107" w:type="dxa"/>
            <w:tcBorders>
              <w:top w:val="single" w:color="auto" w:sz="4" w:space="0"/>
              <w:left w:val="single" w:color="auto" w:sz="4" w:space="0"/>
              <w:bottom w:val="single" w:color="auto" w:sz="4" w:space="0"/>
              <w:right w:val="single" w:color="auto" w:sz="8" w:space="0"/>
            </w:tcBorders>
            <w:shd w:val="clear" w:color="auto" w:fill="auto"/>
            <w:vAlign w:val="center"/>
          </w:tcPr>
          <w:p w14:paraId="38E3F542">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披露生产废水排放总量、主要污染物的排放浓度和总量，以及达标情况</w:t>
            </w:r>
          </w:p>
        </w:tc>
      </w:tr>
      <w:tr w14:paraId="731504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71" w:hRule="atLeast"/>
          <w:jc w:val="center"/>
        </w:trPr>
        <w:tc>
          <w:tcPr>
            <w:tcW w:w="84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2DF2A3F9">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738D89">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72C4583">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E2.2 </w:t>
            </w:r>
            <w:r>
              <w:rPr>
                <w:rFonts w:hint="default" w:ascii="Times New Roman" w:hAnsi="Times New Roman" w:cs="Times New Roman"/>
                <w:sz w:val="28"/>
                <w:szCs w:val="28"/>
                <w:highlight w:val="none"/>
              </w:rPr>
              <w:t>废气排放量及</w:t>
            </w:r>
            <w:r>
              <w:rPr>
                <w:rFonts w:hint="default" w:ascii="Times New Roman" w:hAnsi="Times New Roman" w:cs="Times New Roman"/>
                <w:sz w:val="28"/>
                <w:szCs w:val="28"/>
                <w:highlight w:val="none"/>
                <w:lang w:val="en-US"/>
              </w:rPr>
              <w:t xml:space="preserve"> VOCs </w:t>
            </w:r>
            <w:r>
              <w:rPr>
                <w:rFonts w:hint="default" w:ascii="Times New Roman" w:hAnsi="Times New Roman" w:cs="Times New Roman"/>
                <w:sz w:val="28"/>
                <w:szCs w:val="28"/>
                <w:highlight w:val="none"/>
              </w:rPr>
              <w:t>等关键污染物排放量</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F61A182">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定量</w:t>
            </w:r>
          </w:p>
        </w:tc>
        <w:tc>
          <w:tcPr>
            <w:tcW w:w="3107" w:type="dxa"/>
            <w:tcBorders>
              <w:top w:val="single" w:color="auto" w:sz="4" w:space="0"/>
              <w:left w:val="single" w:color="auto" w:sz="4" w:space="0"/>
              <w:bottom w:val="single" w:color="auto" w:sz="4" w:space="0"/>
              <w:right w:val="single" w:color="auto" w:sz="8" w:space="0"/>
            </w:tcBorders>
            <w:shd w:val="clear" w:color="auto" w:fill="auto"/>
            <w:vAlign w:val="center"/>
          </w:tcPr>
          <w:p w14:paraId="08BCD486">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披露生产过程中（特别是鞋底加工、胶粘、涂饰环节）的</w:t>
            </w:r>
            <w:r>
              <w:rPr>
                <w:rFonts w:hint="default" w:ascii="Times New Roman" w:hAnsi="Times New Roman" w:cs="Times New Roman"/>
                <w:sz w:val="28"/>
                <w:szCs w:val="28"/>
                <w:highlight w:val="none"/>
                <w:lang w:val="en-US"/>
              </w:rPr>
              <w:t>VOCs</w:t>
            </w:r>
            <w:r>
              <w:rPr>
                <w:rFonts w:hint="default" w:ascii="Times New Roman" w:hAnsi="Times New Roman" w:cs="Times New Roman"/>
                <w:sz w:val="28"/>
                <w:szCs w:val="28"/>
                <w:highlight w:val="none"/>
              </w:rPr>
              <w:t>（挥发性有机物）等废气的排放量及治理措施</w:t>
            </w:r>
          </w:p>
        </w:tc>
      </w:tr>
      <w:tr w14:paraId="0FD92D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84" w:hRule="atLeast"/>
          <w:jc w:val="center"/>
        </w:trPr>
        <w:tc>
          <w:tcPr>
            <w:tcW w:w="84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0139C9EE">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F87CE0">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6AD35CCA">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E2.3 </w:t>
            </w:r>
            <w:r>
              <w:rPr>
                <w:rFonts w:hint="default" w:ascii="Times New Roman" w:hAnsi="Times New Roman" w:cs="Times New Roman"/>
                <w:sz w:val="28"/>
                <w:szCs w:val="28"/>
                <w:highlight w:val="none"/>
              </w:rPr>
              <w:t>危险废物产生量与处置率</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042ADF6">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定量</w:t>
            </w:r>
          </w:p>
        </w:tc>
        <w:tc>
          <w:tcPr>
            <w:tcW w:w="3107" w:type="dxa"/>
            <w:tcBorders>
              <w:top w:val="single" w:color="auto" w:sz="4" w:space="0"/>
              <w:left w:val="single" w:color="auto" w:sz="4" w:space="0"/>
              <w:bottom w:val="single" w:color="auto" w:sz="4" w:space="0"/>
              <w:right w:val="single" w:color="auto" w:sz="8" w:space="0"/>
            </w:tcBorders>
            <w:shd w:val="clear" w:color="auto" w:fill="auto"/>
            <w:vAlign w:val="center"/>
          </w:tcPr>
          <w:p w14:paraId="073B9B4A">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披露生产过程中产生的危险废物（如含胶渣、化学废料）的数量、分类、合法处置率及去向</w:t>
            </w:r>
          </w:p>
        </w:tc>
      </w:tr>
      <w:tr w14:paraId="400B84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43" w:hRule="atLeast"/>
          <w:jc w:val="center"/>
        </w:trPr>
        <w:tc>
          <w:tcPr>
            <w:tcW w:w="84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235E3D19">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C766CD">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E3 </w:t>
            </w:r>
            <w:r>
              <w:rPr>
                <w:rFonts w:hint="default" w:ascii="Times New Roman" w:hAnsi="Times New Roman" w:cs="Times New Roman"/>
                <w:sz w:val="28"/>
                <w:szCs w:val="28"/>
                <w:highlight w:val="none"/>
              </w:rPr>
              <w:t>资源利用</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1A4EF160">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E3.1 </w:t>
            </w:r>
            <w:r>
              <w:rPr>
                <w:rFonts w:hint="default" w:ascii="Times New Roman" w:hAnsi="Times New Roman" w:cs="Times New Roman"/>
                <w:sz w:val="28"/>
                <w:szCs w:val="28"/>
                <w:highlight w:val="none"/>
              </w:rPr>
              <w:t>综合能耗及单位产品能耗</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702B390">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定量</w:t>
            </w:r>
          </w:p>
        </w:tc>
        <w:tc>
          <w:tcPr>
            <w:tcW w:w="3107" w:type="dxa"/>
            <w:tcBorders>
              <w:top w:val="single" w:color="auto" w:sz="4" w:space="0"/>
              <w:left w:val="single" w:color="auto" w:sz="4" w:space="0"/>
              <w:bottom w:val="single" w:color="auto" w:sz="4" w:space="0"/>
              <w:right w:val="single" w:color="auto" w:sz="8" w:space="0"/>
            </w:tcBorders>
            <w:shd w:val="clear" w:color="auto" w:fill="auto"/>
            <w:vAlign w:val="center"/>
          </w:tcPr>
          <w:p w14:paraId="7DA6748F">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披露综合能耗消耗总量（折算标准煤）及单位产品能耗，反映能源利用效率</w:t>
            </w:r>
          </w:p>
        </w:tc>
      </w:tr>
      <w:tr w14:paraId="0B1ADE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67" w:hRule="atLeast"/>
          <w:jc w:val="center"/>
        </w:trPr>
        <w:tc>
          <w:tcPr>
            <w:tcW w:w="84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32FC83C3">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55333A">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5F526649">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E3.2 </w:t>
            </w:r>
            <w:r>
              <w:rPr>
                <w:rFonts w:hint="default" w:ascii="Times New Roman" w:hAnsi="Times New Roman" w:cs="Times New Roman"/>
                <w:sz w:val="28"/>
                <w:szCs w:val="28"/>
                <w:highlight w:val="none"/>
              </w:rPr>
              <w:t>新鲜水耗用量及单位产品水耗</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4617E68">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定量</w:t>
            </w:r>
          </w:p>
        </w:tc>
        <w:tc>
          <w:tcPr>
            <w:tcW w:w="3107" w:type="dxa"/>
            <w:tcBorders>
              <w:top w:val="single" w:color="auto" w:sz="4" w:space="0"/>
              <w:left w:val="single" w:color="auto" w:sz="4" w:space="0"/>
              <w:bottom w:val="single" w:color="auto" w:sz="4" w:space="0"/>
              <w:right w:val="single" w:color="auto" w:sz="8" w:space="0"/>
            </w:tcBorders>
            <w:shd w:val="clear" w:color="auto" w:fill="auto"/>
            <w:vAlign w:val="center"/>
          </w:tcPr>
          <w:p w14:paraId="1D53F4F3">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披露新鲜水取水量、循环用水率及单位产品水耗</w:t>
            </w:r>
          </w:p>
          <w:p w14:paraId="2B613F08">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鞋类生产（特别是湿法工序）耗水量大，此指标关键</w:t>
            </w:r>
          </w:p>
        </w:tc>
      </w:tr>
      <w:tr w14:paraId="5287F5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50" w:hRule="atLeast"/>
          <w:jc w:val="center"/>
        </w:trPr>
        <w:tc>
          <w:tcPr>
            <w:tcW w:w="84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1D37B077">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C9E659">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1C35711C">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E3.3 </w:t>
            </w:r>
            <w:r>
              <w:rPr>
                <w:rFonts w:hint="default" w:ascii="Times New Roman" w:hAnsi="Times New Roman" w:cs="Times New Roman"/>
                <w:sz w:val="28"/>
                <w:szCs w:val="28"/>
                <w:highlight w:val="none"/>
              </w:rPr>
              <w:t>可持续材料采购与使用比例</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5BC6D48">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定量</w:t>
            </w:r>
          </w:p>
        </w:tc>
        <w:tc>
          <w:tcPr>
            <w:tcW w:w="3107" w:type="dxa"/>
            <w:tcBorders>
              <w:top w:val="single" w:color="auto" w:sz="4" w:space="0"/>
              <w:left w:val="single" w:color="auto" w:sz="4" w:space="0"/>
              <w:bottom w:val="single" w:color="auto" w:sz="4" w:space="0"/>
              <w:right w:val="single" w:color="auto" w:sz="8" w:space="0"/>
            </w:tcBorders>
            <w:shd w:val="clear" w:color="auto" w:fill="auto"/>
            <w:vAlign w:val="center"/>
          </w:tcPr>
          <w:p w14:paraId="113CA487">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披露可再生材料（有机棉、再生聚酯）、生物基材料（菌丝体、植物基皮革）、</w:t>
            </w:r>
          </w:p>
          <w:p w14:paraId="5805F043">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可持续来源皮革等的采购重量占比</w:t>
            </w:r>
          </w:p>
        </w:tc>
      </w:tr>
      <w:tr w14:paraId="553FFA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34" w:hRule="atLeast"/>
          <w:jc w:val="center"/>
        </w:trPr>
        <w:tc>
          <w:tcPr>
            <w:tcW w:w="84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570EC509">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05965E">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741CB6C2">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E3.4 </w:t>
            </w:r>
            <w:r>
              <w:rPr>
                <w:rFonts w:hint="default" w:ascii="Times New Roman" w:hAnsi="Times New Roman" w:cs="Times New Roman"/>
                <w:sz w:val="28"/>
                <w:szCs w:val="28"/>
                <w:highlight w:val="none"/>
              </w:rPr>
              <w:t>工业固体废物综合利用率</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327AA05">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定量</w:t>
            </w:r>
          </w:p>
        </w:tc>
        <w:tc>
          <w:tcPr>
            <w:tcW w:w="3107" w:type="dxa"/>
            <w:tcBorders>
              <w:top w:val="single" w:color="auto" w:sz="4" w:space="0"/>
              <w:left w:val="single" w:color="auto" w:sz="4" w:space="0"/>
              <w:bottom w:val="single" w:color="auto" w:sz="4" w:space="0"/>
              <w:right w:val="single" w:color="auto" w:sz="8" w:space="0"/>
            </w:tcBorders>
            <w:shd w:val="clear" w:color="auto" w:fill="auto"/>
            <w:vAlign w:val="center"/>
          </w:tcPr>
          <w:p w14:paraId="6F65D759">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披露生产过程中产生的边角料、废包装等一般固废的综合利用（如回收、再利用）率</w:t>
            </w:r>
          </w:p>
        </w:tc>
      </w:tr>
      <w:tr w14:paraId="7AA317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78" w:hRule="atLeast"/>
          <w:jc w:val="center"/>
        </w:trPr>
        <w:tc>
          <w:tcPr>
            <w:tcW w:w="84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63F1ACD0">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44E158A2">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E4 </w:t>
            </w:r>
            <w:r>
              <w:rPr>
                <w:rFonts w:hint="default" w:ascii="Times New Roman" w:hAnsi="Times New Roman" w:cs="Times New Roman"/>
                <w:sz w:val="28"/>
                <w:szCs w:val="28"/>
                <w:highlight w:val="none"/>
              </w:rPr>
              <w:t>生物多样性</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22E20736">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E4.1 </w:t>
            </w:r>
            <w:r>
              <w:rPr>
                <w:rFonts w:hint="default" w:ascii="Times New Roman" w:hAnsi="Times New Roman" w:cs="Times New Roman"/>
                <w:sz w:val="28"/>
                <w:szCs w:val="28"/>
                <w:highlight w:val="none"/>
              </w:rPr>
              <w:t>生物多样性影响评估与保护措施</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C347BFD">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定性</w:t>
            </w:r>
          </w:p>
        </w:tc>
        <w:tc>
          <w:tcPr>
            <w:tcW w:w="3107" w:type="dxa"/>
            <w:tcBorders>
              <w:top w:val="single" w:color="auto" w:sz="4" w:space="0"/>
              <w:left w:val="single" w:color="auto" w:sz="4" w:space="0"/>
              <w:bottom w:val="single" w:color="auto" w:sz="4" w:space="0"/>
              <w:right w:val="single" w:color="auto" w:sz="8" w:space="0"/>
            </w:tcBorders>
            <w:shd w:val="clear" w:color="auto" w:fill="auto"/>
            <w:vAlign w:val="center"/>
          </w:tcPr>
          <w:p w14:paraId="2AA6E09C">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披露原材料（如皮革、橡胶、棕榈油）采购是否对生物多样性产生影响</w:t>
            </w:r>
          </w:p>
          <w:p w14:paraId="0F7A33EA">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以及采取的规避、减缓或补偿措施</w:t>
            </w:r>
          </w:p>
        </w:tc>
      </w:tr>
      <w:tr w14:paraId="5670DB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35" w:hRule="atLeast"/>
          <w:jc w:val="center"/>
        </w:trPr>
        <w:tc>
          <w:tcPr>
            <w:tcW w:w="841"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F48627E">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S </w:t>
            </w:r>
            <w:r>
              <w:rPr>
                <w:rFonts w:hint="default" w:ascii="Times New Roman" w:hAnsi="Times New Roman" w:cs="Times New Roman"/>
                <w:sz w:val="28"/>
                <w:szCs w:val="28"/>
                <w:highlight w:val="none"/>
              </w:rPr>
              <w:t>社会</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5B35EF">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S1 </w:t>
            </w:r>
            <w:r>
              <w:rPr>
                <w:rFonts w:hint="default" w:ascii="Times New Roman" w:hAnsi="Times New Roman" w:cs="Times New Roman"/>
                <w:sz w:val="28"/>
                <w:szCs w:val="28"/>
                <w:highlight w:val="none"/>
              </w:rPr>
              <w:t>员工权益</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14ECA02">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S1.1 </w:t>
            </w:r>
            <w:r>
              <w:rPr>
                <w:rFonts w:hint="default" w:ascii="Times New Roman" w:hAnsi="Times New Roman" w:cs="Times New Roman"/>
                <w:sz w:val="28"/>
                <w:szCs w:val="28"/>
                <w:highlight w:val="none"/>
              </w:rPr>
              <w:t>员工伤亡事故率</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6CDC56C">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定量</w:t>
            </w:r>
          </w:p>
        </w:tc>
        <w:tc>
          <w:tcPr>
            <w:tcW w:w="3107" w:type="dxa"/>
            <w:tcBorders>
              <w:top w:val="single" w:color="auto" w:sz="4" w:space="0"/>
              <w:left w:val="single" w:color="auto" w:sz="4" w:space="0"/>
              <w:bottom w:val="single" w:color="auto" w:sz="4" w:space="0"/>
              <w:right w:val="single" w:color="auto" w:sz="8" w:space="0"/>
            </w:tcBorders>
            <w:shd w:val="clear" w:color="auto" w:fill="auto"/>
            <w:vAlign w:val="center"/>
          </w:tcPr>
          <w:p w14:paraId="65B9B42A">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披露可记录工伤事故率、误工工伤事故率等国际通行指标，反映职场健康与安全水平</w:t>
            </w:r>
          </w:p>
        </w:tc>
      </w:tr>
      <w:tr w14:paraId="6AA697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47" w:hRule="atLeast"/>
          <w:jc w:val="center"/>
        </w:trPr>
        <w:tc>
          <w:tcPr>
            <w:tcW w:w="84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2D3A751D">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92453D">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36B39D3">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S1.2 </w:t>
            </w:r>
            <w:r>
              <w:rPr>
                <w:rFonts w:hint="default" w:ascii="Times New Roman" w:hAnsi="Times New Roman" w:cs="Times New Roman"/>
                <w:sz w:val="28"/>
                <w:szCs w:val="28"/>
                <w:highlight w:val="none"/>
              </w:rPr>
              <w:t>员工培训覆盖率与人均培训时长</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4FDD594">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定量</w:t>
            </w:r>
          </w:p>
        </w:tc>
        <w:tc>
          <w:tcPr>
            <w:tcW w:w="3107" w:type="dxa"/>
            <w:tcBorders>
              <w:top w:val="single" w:color="auto" w:sz="4" w:space="0"/>
              <w:left w:val="single" w:color="auto" w:sz="4" w:space="0"/>
              <w:bottom w:val="single" w:color="auto" w:sz="4" w:space="0"/>
              <w:right w:val="single" w:color="auto" w:sz="8" w:space="0"/>
            </w:tcBorders>
            <w:shd w:val="clear" w:color="auto" w:fill="auto"/>
            <w:vAlign w:val="center"/>
          </w:tcPr>
          <w:p w14:paraId="3A1E0CBD">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披露年度内接受培训的员工比例及员工平均接受培训的小时数，反映对员工发展的投入</w:t>
            </w:r>
          </w:p>
        </w:tc>
      </w:tr>
      <w:tr w14:paraId="5A1B33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73" w:hRule="atLeast"/>
          <w:jc w:val="center"/>
        </w:trPr>
        <w:tc>
          <w:tcPr>
            <w:tcW w:w="84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7EF360F5">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2397AB">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47ABB7BA">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S1.3 </w:t>
            </w:r>
            <w:r>
              <w:rPr>
                <w:rFonts w:hint="default" w:ascii="Times New Roman" w:hAnsi="Times New Roman" w:cs="Times New Roman"/>
                <w:sz w:val="28"/>
                <w:szCs w:val="28"/>
                <w:highlight w:val="none"/>
              </w:rPr>
              <w:t>员工满意度与流失率</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7C18697">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定量</w:t>
            </w:r>
          </w:p>
        </w:tc>
        <w:tc>
          <w:tcPr>
            <w:tcW w:w="3107" w:type="dxa"/>
            <w:tcBorders>
              <w:top w:val="single" w:color="auto" w:sz="4" w:space="0"/>
              <w:left w:val="single" w:color="auto" w:sz="4" w:space="0"/>
              <w:bottom w:val="single" w:color="auto" w:sz="4" w:space="0"/>
              <w:right w:val="single" w:color="auto" w:sz="8" w:space="0"/>
            </w:tcBorders>
            <w:shd w:val="clear" w:color="auto" w:fill="auto"/>
            <w:vAlign w:val="center"/>
          </w:tcPr>
          <w:p w14:paraId="09565ECE">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通过年度敬业度或满意度调查得分，以及年度员工自愿离职率来衡量员工关系健康度</w:t>
            </w:r>
          </w:p>
        </w:tc>
      </w:tr>
      <w:tr w14:paraId="748C44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84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049B8874">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2EDAAC">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908A71F">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S1.4 </w:t>
            </w:r>
            <w:r>
              <w:rPr>
                <w:rFonts w:hint="default" w:ascii="Times New Roman" w:hAnsi="Times New Roman" w:cs="Times New Roman"/>
                <w:sz w:val="28"/>
                <w:szCs w:val="28"/>
                <w:highlight w:val="none"/>
              </w:rPr>
              <w:t>反歧视与反骚扰机制</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57CE802">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定性</w:t>
            </w:r>
          </w:p>
        </w:tc>
        <w:tc>
          <w:tcPr>
            <w:tcW w:w="3107" w:type="dxa"/>
            <w:tcBorders>
              <w:top w:val="single" w:color="auto" w:sz="4" w:space="0"/>
              <w:left w:val="single" w:color="auto" w:sz="4" w:space="0"/>
              <w:bottom w:val="single" w:color="auto" w:sz="4" w:space="0"/>
              <w:right w:val="single" w:color="auto" w:sz="8" w:space="0"/>
            </w:tcBorders>
            <w:shd w:val="clear" w:color="auto" w:fill="auto"/>
            <w:vAlign w:val="center"/>
          </w:tcPr>
          <w:p w14:paraId="5885675A">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披露是否建立并有效运行防止职场歧视、骚扰和虐待的政策及申诉机制</w:t>
            </w:r>
          </w:p>
        </w:tc>
      </w:tr>
      <w:tr w14:paraId="0C1996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7" w:hRule="atLeast"/>
          <w:jc w:val="center"/>
        </w:trPr>
        <w:tc>
          <w:tcPr>
            <w:tcW w:w="84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566EBF0A">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1648CE">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S2 </w:t>
            </w:r>
            <w:r>
              <w:rPr>
                <w:rFonts w:hint="default" w:ascii="Times New Roman" w:hAnsi="Times New Roman" w:cs="Times New Roman"/>
                <w:sz w:val="28"/>
                <w:szCs w:val="28"/>
                <w:highlight w:val="none"/>
              </w:rPr>
              <w:t>供应链管理</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42377987">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S2.1 </w:t>
            </w:r>
            <w:r>
              <w:rPr>
                <w:rFonts w:hint="default" w:ascii="Times New Roman" w:hAnsi="Times New Roman" w:cs="Times New Roman"/>
                <w:sz w:val="28"/>
                <w:szCs w:val="28"/>
                <w:highlight w:val="none"/>
              </w:rPr>
              <w:t>供应商行为准则覆盖率与审核率</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D790BC0">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定量</w:t>
            </w:r>
          </w:p>
        </w:tc>
        <w:tc>
          <w:tcPr>
            <w:tcW w:w="3107" w:type="dxa"/>
            <w:tcBorders>
              <w:top w:val="single" w:color="auto" w:sz="4" w:space="0"/>
              <w:left w:val="single" w:color="auto" w:sz="4" w:space="0"/>
              <w:bottom w:val="single" w:color="auto" w:sz="4" w:space="0"/>
              <w:right w:val="single" w:color="auto" w:sz="8" w:space="0"/>
            </w:tcBorders>
            <w:shd w:val="clear" w:color="auto" w:fill="auto"/>
            <w:vAlign w:val="center"/>
          </w:tcPr>
          <w:p w14:paraId="76FEB227">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披露签署并承诺遵守</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rPr>
              <w:t>行为准则（含劳工、</w:t>
            </w:r>
            <w:r>
              <w:rPr>
                <w:rFonts w:hint="default" w:ascii="Times New Roman" w:hAnsi="Times New Roman" w:cs="Times New Roman"/>
                <w:sz w:val="28"/>
                <w:szCs w:val="28"/>
                <w:highlight w:val="none"/>
                <w:lang w:val="en-US"/>
              </w:rPr>
              <w:t>EHS</w:t>
            </w:r>
            <w:r>
              <w:rPr>
                <w:rFonts w:hint="default" w:ascii="Times New Roman" w:hAnsi="Times New Roman" w:cs="Times New Roman"/>
                <w:sz w:val="28"/>
                <w:szCs w:val="28"/>
                <w:highlight w:val="none"/>
              </w:rPr>
              <w:t>、道德标准）的供应商比例，以及进行现场</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rPr>
              <w:t>审核的供应商比例</w:t>
            </w:r>
          </w:p>
        </w:tc>
      </w:tr>
      <w:tr w14:paraId="7BB61A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83" w:hRule="atLeast"/>
          <w:jc w:val="center"/>
        </w:trPr>
        <w:tc>
          <w:tcPr>
            <w:tcW w:w="84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5D38FF9D">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4E9FF8">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20B9D90">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S2.2 </w:t>
            </w:r>
            <w:r>
              <w:rPr>
                <w:rFonts w:hint="default" w:ascii="Times New Roman" w:hAnsi="Times New Roman" w:cs="Times New Roman"/>
                <w:sz w:val="28"/>
                <w:szCs w:val="28"/>
                <w:highlight w:val="none"/>
              </w:rPr>
              <w:t>供应商违规纠正情况</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0595BDA">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定性</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定量</w:t>
            </w:r>
          </w:p>
        </w:tc>
        <w:tc>
          <w:tcPr>
            <w:tcW w:w="3107" w:type="dxa"/>
            <w:tcBorders>
              <w:top w:val="single" w:color="auto" w:sz="4" w:space="0"/>
              <w:left w:val="single" w:color="auto" w:sz="4" w:space="0"/>
              <w:bottom w:val="single" w:color="auto" w:sz="4" w:space="0"/>
              <w:right w:val="single" w:color="auto" w:sz="8" w:space="0"/>
            </w:tcBorders>
            <w:shd w:val="clear" w:color="auto" w:fill="auto"/>
            <w:vAlign w:val="center"/>
          </w:tcPr>
          <w:p w14:paraId="6CD520C9">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披露审核中发现的主要问题类型（如工时、薪酬、安全）、整改要求及纠正行动完成率</w:t>
            </w:r>
          </w:p>
        </w:tc>
      </w:tr>
      <w:tr w14:paraId="053BB8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84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3E98EF39">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E5D426">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7766E0F3">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S2.3 </w:t>
            </w:r>
            <w:r>
              <w:rPr>
                <w:rFonts w:hint="default" w:ascii="Times New Roman" w:hAnsi="Times New Roman" w:cs="Times New Roman"/>
                <w:sz w:val="28"/>
                <w:szCs w:val="28"/>
                <w:highlight w:val="none"/>
              </w:rPr>
              <w:t>供应链本土化采购比例</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5DE99CA">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定量</w:t>
            </w:r>
          </w:p>
        </w:tc>
        <w:tc>
          <w:tcPr>
            <w:tcW w:w="3107" w:type="dxa"/>
            <w:tcBorders>
              <w:top w:val="single" w:color="auto" w:sz="4" w:space="0"/>
              <w:left w:val="single" w:color="auto" w:sz="4" w:space="0"/>
              <w:bottom w:val="single" w:color="auto" w:sz="4" w:space="0"/>
              <w:right w:val="single" w:color="auto" w:sz="8" w:space="0"/>
            </w:tcBorders>
            <w:shd w:val="clear" w:color="auto" w:fill="auto"/>
            <w:vAlign w:val="center"/>
          </w:tcPr>
          <w:p w14:paraId="1F3B96A6">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披露从本地（如工厂所在省</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国）供应商采购原材料和服务的比例，促进本地经济发展</w:t>
            </w:r>
          </w:p>
        </w:tc>
      </w:tr>
      <w:tr w14:paraId="506597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84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4A94B156">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E5E6D8">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S3 </w:t>
            </w:r>
            <w:r>
              <w:rPr>
                <w:rFonts w:hint="default" w:ascii="Times New Roman" w:hAnsi="Times New Roman" w:cs="Times New Roman"/>
                <w:sz w:val="28"/>
                <w:szCs w:val="28"/>
                <w:highlight w:val="none"/>
              </w:rPr>
              <w:t>产品责任</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1C41AB73">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S3.1 </w:t>
            </w:r>
            <w:r>
              <w:rPr>
                <w:rFonts w:hint="default" w:ascii="Times New Roman" w:hAnsi="Times New Roman" w:cs="Times New Roman"/>
                <w:sz w:val="28"/>
                <w:szCs w:val="28"/>
                <w:highlight w:val="none"/>
              </w:rPr>
              <w:t>产品质量合格率与召回事件</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F2A8944">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定量</w:t>
            </w:r>
          </w:p>
        </w:tc>
        <w:tc>
          <w:tcPr>
            <w:tcW w:w="3107" w:type="dxa"/>
            <w:tcBorders>
              <w:top w:val="single" w:color="auto" w:sz="4" w:space="0"/>
              <w:left w:val="single" w:color="auto" w:sz="4" w:space="0"/>
              <w:bottom w:val="single" w:color="auto" w:sz="4" w:space="0"/>
              <w:right w:val="single" w:color="auto" w:sz="8" w:space="0"/>
            </w:tcBorders>
            <w:shd w:val="clear" w:color="auto" w:fill="auto"/>
            <w:vAlign w:val="center"/>
          </w:tcPr>
          <w:p w14:paraId="397D4AEE">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披露出厂产品抽检合格率，以及因质量或安全问题导致的产品召回次数和数量</w:t>
            </w:r>
          </w:p>
        </w:tc>
      </w:tr>
      <w:tr w14:paraId="763E84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1" w:hRule="atLeast"/>
          <w:jc w:val="center"/>
        </w:trPr>
        <w:tc>
          <w:tcPr>
            <w:tcW w:w="84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4FBDC7DD">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908362">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73600C47">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S3.2 </w:t>
            </w:r>
            <w:r>
              <w:rPr>
                <w:rFonts w:hint="default" w:ascii="Times New Roman" w:hAnsi="Times New Roman" w:cs="Times New Roman"/>
                <w:sz w:val="28"/>
                <w:szCs w:val="28"/>
                <w:highlight w:val="none"/>
              </w:rPr>
              <w:t>产品中有害化学品限制与使用</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520F99E">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定性</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定量</w:t>
            </w:r>
          </w:p>
        </w:tc>
        <w:tc>
          <w:tcPr>
            <w:tcW w:w="3107" w:type="dxa"/>
            <w:tcBorders>
              <w:top w:val="single" w:color="auto" w:sz="4" w:space="0"/>
              <w:left w:val="single" w:color="auto" w:sz="4" w:space="0"/>
              <w:bottom w:val="single" w:color="auto" w:sz="4" w:space="0"/>
              <w:right w:val="single" w:color="auto" w:sz="8" w:space="0"/>
            </w:tcBorders>
            <w:shd w:val="clear" w:color="auto" w:fill="auto"/>
            <w:vAlign w:val="center"/>
          </w:tcPr>
          <w:p w14:paraId="37A7F773">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披露产品符合国际有害化学品零排放标准或自有限制物质清单的情况，以及绿色化学品替代进程</w:t>
            </w:r>
          </w:p>
        </w:tc>
      </w:tr>
      <w:tr w14:paraId="13B114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84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58B07822">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507FF1">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58DD4D05">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S3.3 </w:t>
            </w:r>
            <w:r>
              <w:rPr>
                <w:rFonts w:hint="default" w:ascii="Times New Roman" w:hAnsi="Times New Roman" w:cs="Times New Roman"/>
                <w:sz w:val="28"/>
                <w:szCs w:val="28"/>
                <w:highlight w:val="none"/>
              </w:rPr>
              <w:t>消费者投诉处理及时率与满意度</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396B50E">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定量</w:t>
            </w:r>
          </w:p>
        </w:tc>
        <w:tc>
          <w:tcPr>
            <w:tcW w:w="3107" w:type="dxa"/>
            <w:tcBorders>
              <w:top w:val="single" w:color="auto" w:sz="4" w:space="0"/>
              <w:left w:val="single" w:color="auto" w:sz="4" w:space="0"/>
              <w:bottom w:val="single" w:color="auto" w:sz="4" w:space="0"/>
              <w:right w:val="single" w:color="auto" w:sz="8" w:space="0"/>
            </w:tcBorders>
            <w:shd w:val="clear" w:color="auto" w:fill="auto"/>
            <w:vAlign w:val="center"/>
          </w:tcPr>
          <w:p w14:paraId="647DBB29">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披露客户投诉数量</w:t>
            </w:r>
          </w:p>
          <w:p w14:paraId="40DDD0D8">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主要投诉类型</w:t>
            </w:r>
          </w:p>
          <w:p w14:paraId="64458CE6">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在规定时间内回复并解决的比例</w:t>
            </w:r>
          </w:p>
          <w:p w14:paraId="435FCBF3">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客户满意度调查结果</w:t>
            </w:r>
          </w:p>
        </w:tc>
      </w:tr>
      <w:tr w14:paraId="515772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33" w:hRule="atLeast"/>
          <w:jc w:val="center"/>
        </w:trPr>
        <w:tc>
          <w:tcPr>
            <w:tcW w:w="84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6CB0A465">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E3EFB1">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S4 </w:t>
            </w:r>
            <w:r>
              <w:rPr>
                <w:rFonts w:hint="default" w:ascii="Times New Roman" w:hAnsi="Times New Roman" w:cs="Times New Roman"/>
                <w:sz w:val="28"/>
                <w:szCs w:val="28"/>
                <w:highlight w:val="none"/>
              </w:rPr>
              <w:t>社区参与</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681FA8E8">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S4.1 </w:t>
            </w:r>
            <w:r>
              <w:rPr>
                <w:rFonts w:hint="default" w:ascii="Times New Roman" w:hAnsi="Times New Roman" w:cs="Times New Roman"/>
                <w:sz w:val="28"/>
                <w:szCs w:val="28"/>
                <w:highlight w:val="none"/>
              </w:rPr>
              <w:t>社区投入与公益贡献</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A8CE3AF">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定量</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定性</w:t>
            </w:r>
          </w:p>
        </w:tc>
        <w:tc>
          <w:tcPr>
            <w:tcW w:w="3107" w:type="dxa"/>
            <w:tcBorders>
              <w:top w:val="single" w:color="auto" w:sz="4" w:space="0"/>
              <w:left w:val="single" w:color="auto" w:sz="4" w:space="0"/>
              <w:bottom w:val="single" w:color="auto" w:sz="4" w:space="0"/>
              <w:right w:val="single" w:color="auto" w:sz="8" w:space="0"/>
            </w:tcBorders>
            <w:shd w:val="clear" w:color="auto" w:fill="auto"/>
            <w:vAlign w:val="center"/>
          </w:tcPr>
          <w:p w14:paraId="58857B86">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披露在工厂所在社区开展的公益项目</w:t>
            </w:r>
          </w:p>
          <w:p w14:paraId="391831D7">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捐赠金额</w:t>
            </w:r>
          </w:p>
          <w:p w14:paraId="4AF4EA9F">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员工志愿者服务时间及其社会效益</w:t>
            </w:r>
          </w:p>
        </w:tc>
      </w:tr>
      <w:tr w14:paraId="430642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84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42057ED2">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DCC627">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403A1D6">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S4.2 </w:t>
            </w:r>
            <w:r>
              <w:rPr>
                <w:rFonts w:hint="default" w:ascii="Times New Roman" w:hAnsi="Times New Roman" w:cs="Times New Roman"/>
                <w:sz w:val="28"/>
                <w:szCs w:val="28"/>
                <w:highlight w:val="none"/>
              </w:rPr>
              <w:t>重大运营活动对社区的影响评估</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42EA99A">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定性</w:t>
            </w:r>
          </w:p>
        </w:tc>
        <w:tc>
          <w:tcPr>
            <w:tcW w:w="3107" w:type="dxa"/>
            <w:tcBorders>
              <w:top w:val="single" w:color="auto" w:sz="4" w:space="0"/>
              <w:left w:val="single" w:color="auto" w:sz="4" w:space="0"/>
              <w:bottom w:val="single" w:color="auto" w:sz="4" w:space="0"/>
              <w:right w:val="single" w:color="auto" w:sz="8" w:space="0"/>
            </w:tcBorders>
            <w:shd w:val="clear" w:color="auto" w:fill="auto"/>
            <w:vAlign w:val="center"/>
          </w:tcPr>
          <w:p w14:paraId="3F9978FA">
            <w:pPr>
              <w:pStyle w:val="38"/>
              <w:widowControl/>
              <w:spacing w:before="120" w:beforeLines="50" w:beforeAutospacing="0" w:after="120" w:afterLines="50" w:afterAutospacing="0" w:line="360" w:lineRule="auto"/>
              <w:ind w:left="0" w:right="0"/>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披露新建工厂、扩产等重大活动对社区环境、经济、社会的影响及沟通补偿措施</w:t>
            </w:r>
          </w:p>
        </w:tc>
      </w:tr>
      <w:tr w14:paraId="2428F4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92" w:hRule="atLeast"/>
          <w:jc w:val="center"/>
        </w:trPr>
        <w:tc>
          <w:tcPr>
            <w:tcW w:w="841" w:type="dxa"/>
            <w:vMerge w:val="restart"/>
            <w:tcBorders>
              <w:top w:val="single" w:color="auto" w:sz="4" w:space="0"/>
              <w:left w:val="single" w:color="auto" w:sz="8" w:space="0"/>
              <w:bottom w:val="single" w:color="auto" w:sz="8" w:space="0"/>
              <w:right w:val="single" w:color="auto" w:sz="4" w:space="0"/>
            </w:tcBorders>
            <w:shd w:val="clear" w:color="auto" w:fill="auto"/>
            <w:vAlign w:val="center"/>
          </w:tcPr>
          <w:p w14:paraId="7D514B8C">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 </w:t>
            </w:r>
            <w:r>
              <w:rPr>
                <w:rFonts w:hint="default" w:ascii="Times New Roman" w:hAnsi="Times New Roman" w:cs="Times New Roman"/>
                <w:sz w:val="28"/>
                <w:szCs w:val="28"/>
                <w:highlight w:val="none"/>
              </w:rPr>
              <w:t>治理</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4E0817">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G1 ESG</w:t>
            </w:r>
            <w:r>
              <w:rPr>
                <w:rFonts w:hint="default" w:ascii="Times New Roman" w:hAnsi="Times New Roman" w:cs="Times New Roman"/>
                <w:sz w:val="28"/>
                <w:szCs w:val="28"/>
                <w:highlight w:val="none"/>
              </w:rPr>
              <w:t>治理结构</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574A2B63">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G1.1 </w:t>
            </w:r>
            <w:r>
              <w:rPr>
                <w:rFonts w:hint="default" w:ascii="Times New Roman" w:hAnsi="Times New Roman" w:cs="Times New Roman"/>
                <w:sz w:val="28"/>
                <w:szCs w:val="28"/>
                <w:highlight w:val="none"/>
              </w:rPr>
              <w:t>董事会</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rPr>
              <w:t>监督职责</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5FBF366">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定性</w:t>
            </w:r>
          </w:p>
        </w:tc>
        <w:tc>
          <w:tcPr>
            <w:tcW w:w="3107" w:type="dxa"/>
            <w:tcBorders>
              <w:top w:val="single" w:color="auto" w:sz="4" w:space="0"/>
              <w:left w:val="single" w:color="auto" w:sz="4" w:space="0"/>
              <w:bottom w:val="single" w:color="auto" w:sz="4" w:space="0"/>
              <w:right w:val="single" w:color="auto" w:sz="8" w:space="0"/>
            </w:tcBorders>
            <w:shd w:val="clear" w:color="auto" w:fill="auto"/>
            <w:vAlign w:val="center"/>
          </w:tcPr>
          <w:p w14:paraId="35724E8A">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明确披露董事会在</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rPr>
              <w:t>议题上的监督职责，以及是否设立专门的</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rPr>
              <w:t>委员会或工作组</w:t>
            </w:r>
          </w:p>
        </w:tc>
      </w:tr>
      <w:tr w14:paraId="4C66FF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841"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14:paraId="23FA71FE">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F9A71F">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2F73344E">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G1.2 ESG</w:t>
            </w:r>
            <w:r>
              <w:rPr>
                <w:rFonts w:hint="default" w:ascii="Times New Roman" w:hAnsi="Times New Roman" w:cs="Times New Roman"/>
                <w:sz w:val="28"/>
                <w:szCs w:val="28"/>
                <w:highlight w:val="none"/>
              </w:rPr>
              <w:t>高管薪酬挂钩机制</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13C8017">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定性</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定量</w:t>
            </w:r>
          </w:p>
        </w:tc>
        <w:tc>
          <w:tcPr>
            <w:tcW w:w="3107" w:type="dxa"/>
            <w:tcBorders>
              <w:top w:val="single" w:color="auto" w:sz="4" w:space="0"/>
              <w:left w:val="single" w:color="auto" w:sz="4" w:space="0"/>
              <w:bottom w:val="single" w:color="auto" w:sz="4" w:space="0"/>
              <w:right w:val="single" w:color="auto" w:sz="8" w:space="0"/>
            </w:tcBorders>
            <w:shd w:val="clear" w:color="auto" w:fill="auto"/>
            <w:vAlign w:val="center"/>
          </w:tcPr>
          <w:p w14:paraId="77D3C215">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披露是否将</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rPr>
              <w:t>绩效（如减排目标、安全事故率）纳入高级管理人员的绩效考核与薪酬体系</w:t>
            </w:r>
          </w:p>
        </w:tc>
      </w:tr>
      <w:tr w14:paraId="5586C9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89" w:hRule="atLeast"/>
          <w:jc w:val="center"/>
        </w:trPr>
        <w:tc>
          <w:tcPr>
            <w:tcW w:w="841"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14:paraId="1C30D7B3">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7B422D">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5382F6CE">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G1.3 ESG</w:t>
            </w:r>
            <w:r>
              <w:rPr>
                <w:rFonts w:hint="default" w:ascii="Times New Roman" w:hAnsi="Times New Roman" w:cs="Times New Roman"/>
                <w:sz w:val="28"/>
                <w:szCs w:val="28"/>
                <w:highlight w:val="none"/>
              </w:rPr>
              <w:t>风险管理流程</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02047E3">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定性</w:t>
            </w:r>
          </w:p>
        </w:tc>
        <w:tc>
          <w:tcPr>
            <w:tcW w:w="3107" w:type="dxa"/>
            <w:tcBorders>
              <w:top w:val="single" w:color="auto" w:sz="4" w:space="0"/>
              <w:left w:val="single" w:color="auto" w:sz="4" w:space="0"/>
              <w:bottom w:val="single" w:color="auto" w:sz="4" w:space="0"/>
              <w:right w:val="single" w:color="auto" w:sz="8" w:space="0"/>
            </w:tcBorders>
            <w:shd w:val="clear" w:color="auto" w:fill="auto"/>
            <w:vAlign w:val="center"/>
          </w:tcPr>
          <w:p w14:paraId="6C0EF012">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披露</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rPr>
              <w:t>风险（如气候风险、供应链中断风险）的识别、评估、监控和应对的完整流程</w:t>
            </w:r>
          </w:p>
        </w:tc>
      </w:tr>
      <w:tr w14:paraId="75658D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841"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14:paraId="077AFB1C">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CB828A">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G2 </w:t>
            </w:r>
            <w:r>
              <w:rPr>
                <w:rFonts w:hint="default" w:ascii="Times New Roman" w:hAnsi="Times New Roman" w:cs="Times New Roman"/>
                <w:sz w:val="28"/>
                <w:szCs w:val="28"/>
                <w:highlight w:val="none"/>
              </w:rPr>
              <w:t>商业道德</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1DE33CC5">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G2.1 </w:t>
            </w:r>
            <w:r>
              <w:rPr>
                <w:rFonts w:hint="default" w:ascii="Times New Roman" w:hAnsi="Times New Roman" w:cs="Times New Roman"/>
                <w:sz w:val="28"/>
                <w:szCs w:val="28"/>
                <w:highlight w:val="none"/>
              </w:rPr>
              <w:t>反腐败培训覆盖率与违规事件</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F303078">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定量</w:t>
            </w:r>
          </w:p>
        </w:tc>
        <w:tc>
          <w:tcPr>
            <w:tcW w:w="3107" w:type="dxa"/>
            <w:tcBorders>
              <w:top w:val="single" w:color="auto" w:sz="4" w:space="0"/>
              <w:left w:val="single" w:color="auto" w:sz="4" w:space="0"/>
              <w:bottom w:val="single" w:color="auto" w:sz="4" w:space="0"/>
              <w:right w:val="single" w:color="auto" w:sz="8" w:space="0"/>
            </w:tcBorders>
            <w:shd w:val="clear" w:color="auto" w:fill="auto"/>
            <w:vAlign w:val="center"/>
          </w:tcPr>
          <w:p w14:paraId="28531231">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披露员工（特别是管理层和采购等敏感岗位）接受反腐败培训的比例及年度内确认的腐败违规事件数</w:t>
            </w:r>
          </w:p>
        </w:tc>
      </w:tr>
      <w:tr w14:paraId="5C0C35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89" w:hRule="atLeast"/>
          <w:jc w:val="center"/>
        </w:trPr>
        <w:tc>
          <w:tcPr>
            <w:tcW w:w="841"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14:paraId="67234314">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B60CBF">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149AE1B0">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G2.2 </w:t>
            </w:r>
            <w:r>
              <w:rPr>
                <w:rFonts w:hint="default" w:ascii="Times New Roman" w:hAnsi="Times New Roman" w:cs="Times New Roman"/>
                <w:sz w:val="28"/>
                <w:szCs w:val="28"/>
                <w:highlight w:val="none"/>
              </w:rPr>
              <w:t>诚信经营与公平竞争政策</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96807C8">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定性</w:t>
            </w:r>
          </w:p>
        </w:tc>
        <w:tc>
          <w:tcPr>
            <w:tcW w:w="3107" w:type="dxa"/>
            <w:tcBorders>
              <w:top w:val="single" w:color="auto" w:sz="4" w:space="0"/>
              <w:left w:val="single" w:color="auto" w:sz="4" w:space="0"/>
              <w:bottom w:val="single" w:color="auto" w:sz="4" w:space="0"/>
              <w:right w:val="single" w:color="auto" w:sz="8" w:space="0"/>
            </w:tcBorders>
            <w:shd w:val="clear" w:color="auto" w:fill="auto"/>
            <w:vAlign w:val="center"/>
          </w:tcPr>
          <w:p w14:paraId="1277B86E">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披露在营销、广告、竞标及与供应商合作中遵守诚信与公平竞争政策的承诺和措施</w:t>
            </w:r>
          </w:p>
        </w:tc>
      </w:tr>
      <w:tr w14:paraId="2CBC79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841"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14:paraId="000725A8">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702" w:type="dxa"/>
            <w:vMerge w:val="restart"/>
            <w:tcBorders>
              <w:top w:val="single" w:color="auto" w:sz="4" w:space="0"/>
              <w:left w:val="single" w:color="auto" w:sz="4" w:space="0"/>
              <w:bottom w:val="single" w:color="auto" w:sz="8" w:space="0"/>
              <w:right w:val="single" w:color="auto" w:sz="4" w:space="0"/>
            </w:tcBorders>
            <w:shd w:val="clear" w:color="auto" w:fill="auto"/>
            <w:vAlign w:val="center"/>
          </w:tcPr>
          <w:p w14:paraId="1283CFFF">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G3 </w:t>
            </w:r>
            <w:r>
              <w:rPr>
                <w:rFonts w:hint="default" w:ascii="Times New Roman" w:hAnsi="Times New Roman" w:cs="Times New Roman"/>
                <w:sz w:val="28"/>
                <w:szCs w:val="28"/>
                <w:highlight w:val="none"/>
              </w:rPr>
              <w:t>信息披露与沟通</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3ABE51D0">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G3.1 </w:t>
            </w:r>
            <w:r>
              <w:rPr>
                <w:rFonts w:hint="default" w:ascii="Times New Roman" w:hAnsi="Times New Roman" w:cs="Times New Roman"/>
                <w:sz w:val="28"/>
                <w:szCs w:val="28"/>
                <w:highlight w:val="none"/>
              </w:rPr>
              <w:t>利益相关方沟通机制</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310C6EA">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定性</w:t>
            </w:r>
          </w:p>
        </w:tc>
        <w:tc>
          <w:tcPr>
            <w:tcW w:w="3107" w:type="dxa"/>
            <w:tcBorders>
              <w:top w:val="single" w:color="auto" w:sz="4" w:space="0"/>
              <w:left w:val="single" w:color="auto" w:sz="4" w:space="0"/>
              <w:bottom w:val="single" w:color="auto" w:sz="4" w:space="0"/>
              <w:right w:val="single" w:color="auto" w:sz="8" w:space="0"/>
            </w:tcBorders>
            <w:shd w:val="clear" w:color="auto" w:fill="auto"/>
            <w:vAlign w:val="center"/>
          </w:tcPr>
          <w:p w14:paraId="673FDBD8">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披露识别利益相关方、与其进行常态化沟通的渠道、频率以及对其关切点的回应方式</w:t>
            </w:r>
          </w:p>
        </w:tc>
      </w:tr>
      <w:tr w14:paraId="0D14DC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48" w:hRule="atLeast"/>
          <w:jc w:val="center"/>
        </w:trPr>
        <w:tc>
          <w:tcPr>
            <w:tcW w:w="841"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14:paraId="39450FE8">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702"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14:paraId="5C2C356E">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7F7E02AF">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G3.2 </w:t>
            </w:r>
            <w:r>
              <w:rPr>
                <w:rFonts w:hint="default" w:ascii="Times New Roman" w:hAnsi="Times New Roman" w:cs="Times New Roman"/>
                <w:sz w:val="28"/>
                <w:szCs w:val="28"/>
                <w:highlight w:val="none"/>
              </w:rPr>
              <w:t>遵循的</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rPr>
              <w:t>披露标准</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A0BF5C8">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定性</w:t>
            </w:r>
          </w:p>
        </w:tc>
        <w:tc>
          <w:tcPr>
            <w:tcW w:w="3107" w:type="dxa"/>
            <w:tcBorders>
              <w:top w:val="single" w:color="auto" w:sz="4" w:space="0"/>
              <w:left w:val="single" w:color="auto" w:sz="4" w:space="0"/>
              <w:bottom w:val="single" w:color="auto" w:sz="4" w:space="0"/>
              <w:right w:val="single" w:color="auto" w:sz="8" w:space="0"/>
            </w:tcBorders>
            <w:shd w:val="clear" w:color="auto" w:fill="auto"/>
            <w:vAlign w:val="center"/>
          </w:tcPr>
          <w:p w14:paraId="687A6B85">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披露本报告编写所依据的标准框架以提高可比性</w:t>
            </w:r>
          </w:p>
        </w:tc>
      </w:tr>
      <w:tr w14:paraId="6C3264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841"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14:paraId="0CEBDDA3">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702"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14:paraId="17A58928">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2410" w:type="dxa"/>
            <w:tcBorders>
              <w:top w:val="single" w:color="auto" w:sz="4" w:space="0"/>
              <w:left w:val="single" w:color="auto" w:sz="4" w:space="0"/>
              <w:bottom w:val="single" w:color="auto" w:sz="8" w:space="0"/>
              <w:right w:val="single" w:color="auto" w:sz="4" w:space="0"/>
            </w:tcBorders>
            <w:shd w:val="clear" w:color="auto" w:fill="auto"/>
            <w:vAlign w:val="center"/>
          </w:tcPr>
          <w:p w14:paraId="258B3C82">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G3.3 </w:t>
            </w:r>
            <w:r>
              <w:rPr>
                <w:rFonts w:hint="default" w:ascii="Times New Roman" w:hAnsi="Times New Roman" w:cs="Times New Roman"/>
                <w:sz w:val="28"/>
                <w:szCs w:val="28"/>
                <w:highlight w:val="none"/>
              </w:rPr>
              <w:t>第三方独立验证</w:t>
            </w:r>
          </w:p>
        </w:tc>
        <w:tc>
          <w:tcPr>
            <w:tcW w:w="1275" w:type="dxa"/>
            <w:tcBorders>
              <w:top w:val="single" w:color="auto" w:sz="4" w:space="0"/>
              <w:left w:val="single" w:color="auto" w:sz="4" w:space="0"/>
              <w:bottom w:val="single" w:color="auto" w:sz="8" w:space="0"/>
              <w:right w:val="single" w:color="auto" w:sz="4" w:space="0"/>
            </w:tcBorders>
            <w:shd w:val="clear" w:color="auto" w:fill="auto"/>
            <w:vAlign w:val="center"/>
          </w:tcPr>
          <w:p w14:paraId="696C0782">
            <w:pPr>
              <w:pStyle w:val="38"/>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定性</w:t>
            </w:r>
          </w:p>
        </w:tc>
        <w:tc>
          <w:tcPr>
            <w:tcW w:w="3107" w:type="dxa"/>
            <w:tcBorders>
              <w:top w:val="single" w:color="auto" w:sz="4" w:space="0"/>
              <w:left w:val="single" w:color="auto" w:sz="4" w:space="0"/>
              <w:bottom w:val="single" w:color="auto" w:sz="8" w:space="0"/>
              <w:right w:val="single" w:color="auto" w:sz="8" w:space="0"/>
            </w:tcBorders>
            <w:shd w:val="clear" w:color="auto" w:fill="auto"/>
            <w:vAlign w:val="center"/>
          </w:tcPr>
          <w:p w14:paraId="408509F6">
            <w:pPr>
              <w:pStyle w:val="38"/>
              <w:widowControl/>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披露报告是否经过以及何种级别的第三方独立验证（如有限保证</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合理保证），增强可信度</w:t>
            </w:r>
          </w:p>
        </w:tc>
      </w:tr>
    </w:tbl>
    <w:p w14:paraId="59BE4DF1">
      <w:pPr>
        <w:pStyle w:val="35"/>
        <w:widowControl/>
        <w:spacing w:line="360" w:lineRule="auto"/>
        <w:ind w:left="0" w:firstLine="420"/>
        <w:rPr>
          <w:rFonts w:hint="default" w:ascii="Times New Roman" w:hAnsi="Times New Roman" w:cs="Times New Roman"/>
          <w:sz w:val="28"/>
          <w:szCs w:val="28"/>
          <w:highlight w:val="none"/>
          <w:lang w:val="en-US"/>
        </w:rPr>
      </w:pPr>
    </w:p>
    <w:p w14:paraId="21701988">
      <w:pPr>
        <w:pStyle w:val="37"/>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9" w:name="_Toc208322780"/>
      <w:bookmarkStart w:id="40" w:name="_Toc210050463"/>
      <w:bookmarkStart w:id="41" w:name="_Toc210050367"/>
      <w:r>
        <w:rPr>
          <w:rFonts w:hint="default" w:ascii="Times New Roman" w:hAnsi="Times New Roman" w:cs="Times New Roman"/>
          <w:sz w:val="28"/>
          <w:szCs w:val="28"/>
          <w:highlight w:val="none"/>
          <w:lang w:eastAsia="zh-CN"/>
        </w:rPr>
        <w:t>披露要求与实施</w:t>
      </w:r>
      <w:bookmarkEnd w:id="39"/>
      <w:bookmarkEnd w:id="40"/>
      <w:bookmarkEnd w:id="41"/>
    </w:p>
    <w:p w14:paraId="3428F750">
      <w:pPr>
        <w:pStyle w:val="41"/>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披露形式</w:t>
      </w:r>
    </w:p>
    <w:p w14:paraId="34A26849">
      <w:pPr>
        <w:pStyle w:val="36"/>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企业应以独立的社会责任报告或</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报告为主要形式进行披露。</w:t>
      </w:r>
    </w:p>
    <w:p w14:paraId="0CDA4A99">
      <w:pPr>
        <w:pStyle w:val="36"/>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企业可将</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报告作为企业年度报告的组成部分进行披露，但应确保其内容的完整性和独立性。</w:t>
      </w:r>
    </w:p>
    <w:p w14:paraId="7EF9EF78">
      <w:pPr>
        <w:pStyle w:val="36"/>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报告应以中文编制，鼓励提供英文或其他语种的版本以供国际利益相关方参考。</w:t>
      </w:r>
    </w:p>
    <w:p w14:paraId="5B6FBB4B">
      <w:pPr>
        <w:pStyle w:val="36"/>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报告宜采用电子版与印刷版相结合的方式发布，其中电子版应在企业官方网站的显著位置予以公布，并保持长期可获取性。</w:t>
      </w:r>
    </w:p>
    <w:p w14:paraId="27A79ED4">
      <w:pPr>
        <w:pStyle w:val="41"/>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披露频率</w:t>
      </w:r>
    </w:p>
    <w:p w14:paraId="681DCE09">
      <w:pPr>
        <w:pStyle w:val="36"/>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企业应至少每年披露一次</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信息。</w:t>
      </w:r>
    </w:p>
    <w:p w14:paraId="0B036E5C">
      <w:pPr>
        <w:pStyle w:val="36"/>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年度</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报告应于每个会计年度结束之日起四个月内发布。</w:t>
      </w:r>
    </w:p>
    <w:p w14:paraId="6C332145">
      <w:pPr>
        <w:pStyle w:val="36"/>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鼓励企业按半年度或季度披露</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绩效概要或重大进展。</w:t>
      </w:r>
    </w:p>
    <w:p w14:paraId="39B3D5E3">
      <w:pPr>
        <w:pStyle w:val="36"/>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如发生对利益相关方产生重大影响的</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事件，企业应及时履行临时披露义务，披露事件概况、影响及应对措施。</w:t>
      </w:r>
    </w:p>
    <w:p w14:paraId="272EAD89">
      <w:pPr>
        <w:pStyle w:val="41"/>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披露流程</w:t>
      </w:r>
    </w:p>
    <w:p w14:paraId="0475B0D3">
      <w:pPr>
        <w:pStyle w:val="36"/>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准备阶段应满足以下要求：</w:t>
      </w:r>
    </w:p>
    <w:p w14:paraId="4CA3BA49">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企业确定本次披露的范围和组织边界；</w:t>
      </w:r>
    </w:p>
    <w:p w14:paraId="563088AA">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企业建立覆盖总部及各运营单元的</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数据收集体系，明确：</w:t>
      </w:r>
    </w:p>
    <w:p w14:paraId="178AD631">
      <w:pPr>
        <w:pStyle w:val="42"/>
        <w:widowControl/>
        <w:numPr>
          <w:ilvl w:val="1"/>
          <w:numId w:val="4"/>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数据来源；</w:t>
      </w:r>
    </w:p>
    <w:p w14:paraId="678D5DE5">
      <w:pPr>
        <w:pStyle w:val="42"/>
        <w:widowControl/>
        <w:numPr>
          <w:ilvl w:val="1"/>
          <w:numId w:val="4"/>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统计口径；</w:t>
      </w:r>
    </w:p>
    <w:p w14:paraId="6FAA12E6">
      <w:pPr>
        <w:pStyle w:val="42"/>
        <w:widowControl/>
        <w:numPr>
          <w:ilvl w:val="1"/>
          <w:numId w:val="4"/>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计算方法。</w:t>
      </w:r>
    </w:p>
    <w:p w14:paraId="0FAA6B89">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企业开展利益相关方沟通和重要性议题评估，以确定报告的核心内容与重点。</w:t>
      </w:r>
    </w:p>
    <w:p w14:paraId="794BABA9">
      <w:pPr>
        <w:pStyle w:val="36"/>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编写与评审阶段应满足以下要求：</w:t>
      </w:r>
    </w:p>
    <w:p w14:paraId="3B4500EC">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报告编写部门或团队依据本指南的要求，基于收集的数据和信息编制报告初稿；</w:t>
      </w:r>
    </w:p>
    <w:p w14:paraId="596F50D7">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报告初稿经由企业内部相关部门进行交叉审核，确保数据的准确性和内容的平衡性；</w:t>
      </w:r>
    </w:p>
    <w:p w14:paraId="66AB9D45">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报告终稿提交至企业高级管理层进行审议批准。</w:t>
      </w:r>
    </w:p>
    <w:p w14:paraId="422713C2">
      <w:pPr>
        <w:pStyle w:val="36"/>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验证与发布阶段应满足以下要求：</w:t>
      </w:r>
    </w:p>
    <w:p w14:paraId="63114953">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企业聘请独立的第三方机构对报告中的关键绩效数据进行审验，并出具审验声明；</w:t>
      </w:r>
    </w:p>
    <w:p w14:paraId="0701588E">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报告通过企业官网、证券交易所指定平台、新闻媒体以及年度业绩发布会等多种渠道向社会公开发布。</w:t>
      </w:r>
    </w:p>
    <w:p w14:paraId="7A8BD182">
      <w:pPr>
        <w:pStyle w:val="36"/>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反馈与改进阶段应满足以下要求：</w:t>
      </w:r>
    </w:p>
    <w:p w14:paraId="688BB6B8">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企业建立有效的渠道，收集利益相关方对已发布</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报告的反馈意见；</w:t>
      </w:r>
    </w:p>
    <w:p w14:paraId="25B4FD38">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企业对反馈意见进行分析评估，并将有价值的建议纳入下一年度的</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管理改进和报告编写工作中，形成闭环管理。</w:t>
      </w:r>
    </w:p>
    <w:p w14:paraId="3C4BDEF5">
      <w:pPr>
        <w:pStyle w:val="41"/>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披露质量</w:t>
      </w:r>
    </w:p>
    <w:p w14:paraId="6ED9DD11">
      <w:pPr>
        <w:pStyle w:val="36"/>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报告应客观、中立地披露企业的绩效，避免选择性披露。</w:t>
      </w:r>
    </w:p>
    <w:p w14:paraId="7291763B">
      <w:pPr>
        <w:pStyle w:val="36"/>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披露所采用的统计方法、计算口径和转换系数应保持前后期一致。如发生变更，应对变更情况、变更原因及对数据可比性的影响予以说明。</w:t>
      </w:r>
    </w:p>
    <w:p w14:paraId="7B18DDFE">
      <w:pPr>
        <w:pStyle w:val="36"/>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披露的量化信息应尽可能采用行业通用或国际公认的计量单位，并提供必要的历史对比数据，以利于纵向和横向比较。</w:t>
      </w:r>
    </w:p>
    <w:p w14:paraId="2822E12E">
      <w:pPr>
        <w:pStyle w:val="36"/>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报告内容应结构清晰、语言通俗、重点突出。宜充分运用图表、案例、信息图等可视化方式，增强信息的可读性和易理解性。</w:t>
      </w:r>
    </w:p>
    <w:p w14:paraId="2BB5D8AA">
      <w:pPr>
        <w:pStyle w:val="36"/>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报告中的信息和数据应有清晰、可追溯的来源和记录作为支撑，其收集、整理和分析过程应受到内部控制，确保真实、准确。鼓励通过第三方审验提升可靠性。</w:t>
      </w:r>
    </w:p>
    <w:p w14:paraId="37D569D8">
      <w:pPr>
        <w:pStyle w:val="36"/>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报告内容应聚焦对企业和利益相关方均具有重要意义的</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议题，深度披露企业的管理方法、行动、绩效及未来展望。</w:t>
      </w:r>
    </w:p>
    <w:p w14:paraId="2C78A100">
      <w:pPr>
        <w:pStyle w:val="37"/>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42" w:name="_Toc210050368"/>
      <w:bookmarkStart w:id="43" w:name="_Toc210050464"/>
      <w:bookmarkStart w:id="44" w:name="_Toc208322781"/>
      <w:r>
        <w:rPr>
          <w:rFonts w:hint="default" w:ascii="Times New Roman" w:hAnsi="Times New Roman" w:cs="Times New Roman"/>
          <w:sz w:val="28"/>
          <w:szCs w:val="28"/>
          <w:highlight w:val="none"/>
          <w:lang w:eastAsia="zh-CN"/>
        </w:rPr>
        <w:t>信息核验与报告应用</w:t>
      </w:r>
      <w:bookmarkEnd w:id="42"/>
      <w:bookmarkEnd w:id="43"/>
      <w:bookmarkEnd w:id="44"/>
    </w:p>
    <w:p w14:paraId="754E8F34">
      <w:pPr>
        <w:pStyle w:val="41"/>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信息核验</w:t>
      </w:r>
    </w:p>
    <w:p w14:paraId="637BB9D2">
      <w:pPr>
        <w:pStyle w:val="36"/>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内部核验体系应满足以下要求：</w:t>
      </w:r>
    </w:p>
    <w:p w14:paraId="56E67AD8">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企业建立覆盖</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数据产生、收集、统计、核算和报送全过程的内部控制制度与管理程序；</w:t>
      </w:r>
    </w:p>
    <w:p w14:paraId="08CA0AAD">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企业明确各项</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数据的源头责任部门、提供频次与统计口径，并建立清晰的数据流转与审核路径；</w:t>
      </w:r>
    </w:p>
    <w:p w14:paraId="2217EFD4">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关键绩效数据具备原始记录、台账、统计报表、检测报告等作为支撑性证据，数据可追溯、可核查；</w:t>
      </w:r>
    </w:p>
    <w:p w14:paraId="74CE95AE">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企业设立内部审计或专项稽查机制，定期对</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数据的管理流程和信息质量进行独立审查与评价。</w:t>
      </w:r>
    </w:p>
    <w:p w14:paraId="4710768A">
      <w:pPr>
        <w:pStyle w:val="36"/>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外部核验应满足以下要求：</w:t>
      </w:r>
    </w:p>
    <w:p w14:paraId="01F7AC15">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企业聘请具备相应资质和专业能力的独立第三方机构，对</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报告中的特定信息或整体内容进行审验；</w:t>
      </w:r>
    </w:p>
    <w:p w14:paraId="3FA26E32">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第三方审验机构独立于企业，并遵循公认的审验准则执行工作；</w:t>
      </w:r>
    </w:p>
    <w:p w14:paraId="1D169E60">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审验工作根据需求采用不同保证等级：</w:t>
      </w:r>
    </w:p>
    <w:p w14:paraId="73C0179A">
      <w:pPr>
        <w:pStyle w:val="42"/>
        <w:widowControl/>
        <w:numPr>
          <w:ilvl w:val="1"/>
          <w:numId w:val="4"/>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通过执行询问、分析性程序等审验工作，未发现任何事项使其相信信息存在重大错报；</w:t>
      </w:r>
    </w:p>
    <w:p w14:paraId="5B8CF8F8">
      <w:pPr>
        <w:pStyle w:val="42"/>
        <w:widowControl/>
        <w:numPr>
          <w:ilvl w:val="1"/>
          <w:numId w:val="4"/>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通过执行更广泛的审验程序，获取充分、适当的证据以支持高水平保证，认为信息在所有重大方面是准确的；</w:t>
      </w:r>
    </w:p>
    <w:p w14:paraId="362C8B9D">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第三方机构出具的审验报告随</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报告一并公开，并明确披露审验范围、依据的标准、保证等级以及发现的关键结论。</w:t>
      </w:r>
    </w:p>
    <w:p w14:paraId="19DA32A2">
      <w:pPr>
        <w:pStyle w:val="36"/>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利益相关方监督应满足以下要求：</w:t>
      </w:r>
    </w:p>
    <w:p w14:paraId="57F035DE">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企业建立畅通的渠道，允许利益相关方对其披露的</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信息提出质询；</w:t>
      </w:r>
    </w:p>
    <w:p w14:paraId="322DA31F">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对于利益相关方提出的合理质询，企业予以回应，对经核实确属披露有误或不完整的信息及时进行更正与说明。</w:t>
      </w:r>
    </w:p>
    <w:p w14:paraId="3A00814B">
      <w:pPr>
        <w:pStyle w:val="41"/>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报告应用</w:t>
      </w:r>
    </w:p>
    <w:p w14:paraId="7E3EF4D3">
      <w:pPr>
        <w:pStyle w:val="36"/>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内部管理应用应满足以下要求：</w:t>
      </w:r>
    </w:p>
    <w:p w14:paraId="3E58D44C">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企业将</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绩效分析纳入战略规划与投资决策流程，识别可持续发展带来的机遇与潜在风险；</w:t>
      </w:r>
    </w:p>
    <w:p w14:paraId="18141771">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企业依据</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报告所揭示的薄弱环节，制定针对性的管理提升和整改行动计划，并跟踪落实；</w:t>
      </w:r>
    </w:p>
    <w:p w14:paraId="33823E99">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企业将关键</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指标纳入相关部门及高级管理人员的绩效考核体系，与薪酬激励挂钩；</w:t>
      </w:r>
    </w:p>
    <w:p w14:paraId="748E7F3D">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企业将</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报告作为内部宣传和培训材料，提升全员</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意识，培育负责任的企业文化。</w:t>
      </w:r>
    </w:p>
    <w:p w14:paraId="0D5C207A">
      <w:pPr>
        <w:pStyle w:val="36"/>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外部沟通与应用应满足以下要求：</w:t>
      </w:r>
    </w:p>
    <w:p w14:paraId="00529C31">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企业主动向投资者、金融机构及评级机构提供</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报告，展示其长期价值和风险管控能力，以获取更优的融资条件和投资机会；</w:t>
      </w:r>
    </w:p>
    <w:p w14:paraId="4F5B51EB">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企业利用</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报告与上下游合作伙伴进行沟通，传递可持续发展要求，推动绿色供应链建设，共同提升产业链韧性；</w:t>
      </w:r>
    </w:p>
    <w:p w14:paraId="583978A5">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企业将</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报告作为品牌营销和消费者沟通的工具，向市场传递其产品与服务的环境友好属性及社会责任感，增强品牌美誉度和消费者信任；</w:t>
      </w:r>
    </w:p>
    <w:p w14:paraId="2B681E32">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报告作为企业响应国家绿色低碳发展政策、遵守环保、劳工等法律法规的证明，为参与政府采购、申请政策支持提供依据；</w:t>
      </w:r>
    </w:p>
    <w:p w14:paraId="4205A05D">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通过披露社区投入和影响管理信息，企业增进与运营所在地社区的互信，为可持续发展营造良好的外部环境。</w:t>
      </w:r>
    </w:p>
    <w:p w14:paraId="02E620B5">
      <w:pPr>
        <w:pStyle w:val="37"/>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45" w:name="_Toc210050369"/>
      <w:bookmarkStart w:id="46" w:name="_Toc208322782"/>
      <w:bookmarkStart w:id="47" w:name="_Toc210050465"/>
      <w:r>
        <w:rPr>
          <w:rFonts w:hint="default" w:ascii="Times New Roman" w:hAnsi="Times New Roman" w:cs="Times New Roman"/>
          <w:sz w:val="28"/>
          <w:szCs w:val="28"/>
          <w:highlight w:val="none"/>
          <w:lang w:eastAsia="zh-CN"/>
        </w:rPr>
        <w:t>责任与监督</w:t>
      </w:r>
      <w:bookmarkEnd w:id="45"/>
      <w:bookmarkEnd w:id="46"/>
      <w:bookmarkEnd w:id="47"/>
    </w:p>
    <w:p w14:paraId="2B6D25C5">
      <w:pPr>
        <w:pStyle w:val="41"/>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企业责任</w:t>
      </w:r>
    </w:p>
    <w:p w14:paraId="33457E16">
      <w:pPr>
        <w:pStyle w:val="36"/>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董事会（或最高决策层）责任应满足以下要求：</w:t>
      </w:r>
    </w:p>
    <w:p w14:paraId="4618894A">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董事会承担</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信息披露的最终责任，负责批准企业的</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战略、重要政策及年度</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报告；</w:t>
      </w:r>
    </w:p>
    <w:p w14:paraId="4C4AD7DD">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董事会确保</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管理体系建设获得必要的资源支持，并将</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议题纳入企业重大决策考量；</w:t>
      </w:r>
    </w:p>
    <w:p w14:paraId="2D4DC536">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董事会设立专门的</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委员会或指定现有专业委员会负责监督</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工作的推进与绩效，并向董事会汇报；</w:t>
      </w:r>
    </w:p>
    <w:p w14:paraId="2363C3CD">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董事会定期审阅</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相关风险与机遇的评估报告，并监督管理层的应对措施。</w:t>
      </w:r>
    </w:p>
    <w:p w14:paraId="0599E5B8">
      <w:pPr>
        <w:pStyle w:val="36"/>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管理层责任应满足以下要求：</w:t>
      </w:r>
    </w:p>
    <w:p w14:paraId="7BD841F5">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高级管理层负责领导、规划和执行董事会批准的</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战略，建立有效的内部管理架构和流程；</w:t>
      </w:r>
    </w:p>
    <w:p w14:paraId="59D2DD7B">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高级管理层确保</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信息的收集、整理与报送流程清晰、高效，且数据质量可靠；</w:t>
      </w:r>
    </w:p>
    <w:p w14:paraId="623B4D75">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高级管理层每年至少一次向董事会报告</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目标完成情况、关键绩效表现及改进计划；</w:t>
      </w:r>
    </w:p>
    <w:p w14:paraId="3CB2AD46">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企业明确指定</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工作的归口管理部门，并赋予其协调、推进和考核各业务单元</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工作的职权。</w:t>
      </w:r>
    </w:p>
    <w:p w14:paraId="47950C7D">
      <w:pPr>
        <w:pStyle w:val="36"/>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执行保障应满足以下要求：</w:t>
      </w:r>
    </w:p>
    <w:p w14:paraId="36F036D1">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各业务单元及职能部门负责其业务范围内的</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实践和数据提供，与本企业</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政策的一致性；</w:t>
      </w:r>
    </w:p>
    <w:p w14:paraId="6AFCFDC1">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企业将</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工作要求融入日常运营管理制度和流程；</w:t>
      </w:r>
    </w:p>
    <w:p w14:paraId="1C93BB2A">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企业开展面向全体员工，特别是关键岗位人员的</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培训，提升其认知水平和执行能力；</w:t>
      </w:r>
    </w:p>
    <w:p w14:paraId="0E1737C4">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企业建立内部激励与问责机制，对</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工作表现优异的部门或个人给予表彰，对造成重大负面影响的失职行为予以问责。</w:t>
      </w:r>
    </w:p>
    <w:p w14:paraId="54EB29A8">
      <w:pPr>
        <w:pStyle w:val="41"/>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监督机制</w:t>
      </w:r>
    </w:p>
    <w:p w14:paraId="155E8DA5">
      <w:pPr>
        <w:pStyle w:val="36"/>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内部监督</w:t>
      </w:r>
      <w:bookmarkStart w:id="48" w:name="OLE_LINK1"/>
      <w:r>
        <w:rPr>
          <w:rFonts w:hint="default" w:ascii="Times New Roman" w:hAnsi="Times New Roman" w:cs="Times New Roman"/>
          <w:sz w:val="28"/>
          <w:szCs w:val="28"/>
          <w:highlight w:val="none"/>
          <w:lang w:eastAsia="zh-CN"/>
        </w:rPr>
        <w:t>应满足以下要求：</w:t>
      </w:r>
      <w:bookmarkEnd w:id="48"/>
    </w:p>
    <w:p w14:paraId="5BA9F9F7">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企业的内部审计部门定期对</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数据管理流程和信息披露内部控制的有效性进行独立审计，并将审计结果报告至董事会或审计委员会；</w:t>
      </w:r>
    </w:p>
    <w:p w14:paraId="5AFFAAB0">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企业建立</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信息内部举报渠道，鼓励员工在发现数据造假、虚报或瞒报等行为时进行实名或匿名举报，并确保举报人得到充分保护。</w:t>
      </w:r>
    </w:p>
    <w:p w14:paraId="744A577B">
      <w:pPr>
        <w:pStyle w:val="36"/>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行业自律与监督应满足以下要求：</w:t>
      </w:r>
    </w:p>
    <w:p w14:paraId="4725F15C">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相关行业协会发挥引导和自律作用，组织本指南的宣贯、培训和经验交流活动；</w:t>
      </w:r>
    </w:p>
    <w:p w14:paraId="22DAAC61">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行业协会建立行业</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信息平台，收集并展示企业的</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报告，促进同行间的比较与学习；</w:t>
      </w:r>
    </w:p>
    <w:p w14:paraId="1039DC21">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行业协会对成员企业的</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披露行为进行评议，并对优秀实践案例进行推广，对不良行为进行行业通报。</w:t>
      </w:r>
    </w:p>
    <w:p w14:paraId="12846AC0">
      <w:pPr>
        <w:pStyle w:val="36"/>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利益相关方监督应满足以下要求：</w:t>
      </w:r>
    </w:p>
    <w:p w14:paraId="4D5E3C79">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投资者、金融机构将企业</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披露质量作为投资与授信决策的重要依据，通过行使股东权利、开展尽职调查等方式进行监督；</w:t>
      </w:r>
    </w:p>
    <w:p w14:paraId="09D9094D">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媒体、环保组织、非政府组织、消费者及公众对企业披露的</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信息进行社会监督，对存疑信息提出质询，对虚假披露行为进行曝光；</w:t>
      </w:r>
    </w:p>
    <w:p w14:paraId="3494D089">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企业建立健全的利益相关方沟通机制，对其关切的</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问题予以积极、及时的回应。</w:t>
      </w:r>
    </w:p>
    <w:p w14:paraId="39D82F57">
      <w:pPr>
        <w:pStyle w:val="36"/>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第三方评价监督应满足以下要求：</w:t>
      </w:r>
    </w:p>
    <w:p w14:paraId="3EA988EC">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评级机构依据本指南及行业特点，构建科学的评价模型，对企业的</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表现进行评级，其结果作为市场监督的重要参考；</w:t>
      </w:r>
    </w:p>
    <w:p w14:paraId="41FCC985">
      <w:pPr>
        <w:pStyle w:val="40"/>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会计师事务所、认证机构等第三方专业机构秉持独立、客观、公正的原则，对企业</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信息进行审验，并以专业声誉为其审验结论负责。</w:t>
      </w:r>
    </w:p>
    <w:p w14:paraId="615E11A1">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9" w:name="_Toc12675"/>
      <w:r>
        <w:rPr>
          <w:rFonts w:hint="default" w:ascii="Times New Roman" w:hAnsi="Times New Roman" w:eastAsia="黑体" w:cs="Times New Roman"/>
          <w:b/>
          <w:kern w:val="0"/>
          <w:sz w:val="30"/>
          <w:szCs w:val="30"/>
          <w:highlight w:val="none"/>
          <w:lang w:val="en-US" w:eastAsia="zh-CN"/>
        </w:rPr>
        <w:t>三</w:t>
      </w:r>
      <w:r>
        <w:rPr>
          <w:rFonts w:hint="default" w:ascii="Times New Roman" w:hAnsi="Times New Roman" w:eastAsia="黑体" w:cs="Times New Roman"/>
          <w:b/>
          <w:kern w:val="0"/>
          <w:sz w:val="30"/>
          <w:szCs w:val="30"/>
          <w:highlight w:val="none"/>
        </w:rPr>
        <w:t>、主要试验</w:t>
      </w:r>
      <w:r>
        <w:rPr>
          <w:rFonts w:hint="default" w:ascii="Times New Roman" w:hAnsi="Times New Roman" w:eastAsia="黑体" w:cs="Times New Roman"/>
          <w:b/>
          <w:kern w:val="0"/>
          <w:sz w:val="30"/>
          <w:szCs w:val="30"/>
          <w:highlight w:val="none"/>
          <w:lang w:val="en-US" w:eastAsia="zh-CN"/>
        </w:rPr>
        <w:t>和情况分析</w:t>
      </w:r>
      <w:bookmarkEnd w:id="49"/>
    </w:p>
    <w:p w14:paraId="2A59B8C2">
      <w:pPr>
        <w:widowControl/>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结合国内外的行业测试标准和企业内部工厂管控的项目进行要求规定和试验验证。</w:t>
      </w:r>
    </w:p>
    <w:p w14:paraId="0DD8E88F">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50" w:name="_Toc20840"/>
      <w:r>
        <w:rPr>
          <w:rFonts w:hint="default" w:ascii="Times New Roman" w:hAnsi="Times New Roman" w:eastAsia="黑体" w:cs="Times New Roman"/>
          <w:b/>
          <w:kern w:val="0"/>
          <w:sz w:val="30"/>
          <w:szCs w:val="30"/>
          <w:highlight w:val="none"/>
          <w:lang w:val="en-US" w:eastAsia="zh-CN"/>
        </w:rPr>
        <w:t>四</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标准中涉及专利的情况</w:t>
      </w:r>
      <w:bookmarkEnd w:id="50"/>
    </w:p>
    <w:p w14:paraId="61864BB7">
      <w:pPr>
        <w:widowControl/>
        <w:spacing w:line="360" w:lineRule="auto"/>
        <w:ind w:firstLine="560" w:firstLineChars="20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sz w:val="28"/>
          <w:szCs w:val="28"/>
          <w:highlight w:val="none"/>
          <w:lang w:val="en-US" w:eastAsia="zh-CN"/>
        </w:rPr>
        <w:t>无</w:t>
      </w:r>
    </w:p>
    <w:p w14:paraId="65DEF14E">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51" w:name="_Toc29243"/>
      <w:r>
        <w:rPr>
          <w:rFonts w:hint="default" w:ascii="Times New Roman" w:hAnsi="Times New Roman" w:eastAsia="黑体" w:cs="Times New Roman"/>
          <w:b/>
          <w:kern w:val="0"/>
          <w:sz w:val="30"/>
          <w:szCs w:val="30"/>
          <w:highlight w:val="none"/>
          <w:lang w:val="en-US" w:eastAsia="zh-CN"/>
        </w:rPr>
        <w:t>五</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预期达到的效益（经济、效益、生态等），对产业发展的作用的情况</w:t>
      </w:r>
      <w:bookmarkEnd w:id="51"/>
    </w:p>
    <w:p w14:paraId="5E2D07E0">
      <w:pPr>
        <w:widowControl/>
        <w:spacing w:line="360" w:lineRule="auto"/>
        <w:ind w:firstLine="560" w:firstLineChars="200"/>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kern w:val="0"/>
          <w:sz w:val="28"/>
          <w:szCs w:val="28"/>
          <w:highlight w:val="none"/>
          <w:lang w:val="en-US" w:eastAsia="zh-CN" w:bidi="ar-SA"/>
        </w:rPr>
        <w:t>鞋类ESG披露</w:t>
      </w:r>
      <w:r>
        <w:rPr>
          <w:rFonts w:hint="default" w:ascii="Times New Roman" w:hAnsi="Times New Roman" w:cs="Times New Roman" w:eastAsiaTheme="minorEastAsia"/>
          <w:kern w:val="0"/>
          <w:sz w:val="28"/>
          <w:szCs w:val="28"/>
          <w:highlight w:val="none"/>
          <w:lang w:val="en-US" w:eastAsia="zh-CN" w:bidi="ar-SA"/>
        </w:rPr>
        <w:t>企业规范运营，在国际市场上有机会与其他各国（相关）企业竞争。</w:t>
      </w:r>
    </w:p>
    <w:p w14:paraId="1CD600A7">
      <w:pPr>
        <w:spacing w:line="360" w:lineRule="auto"/>
        <w:outlineLvl w:val="0"/>
        <w:rPr>
          <w:rFonts w:hint="default" w:ascii="Times New Roman" w:hAnsi="Times New Roman" w:eastAsia="黑体" w:cs="Times New Roman"/>
          <w:b/>
          <w:kern w:val="0"/>
          <w:sz w:val="30"/>
          <w:szCs w:val="30"/>
          <w:highlight w:val="none"/>
        </w:rPr>
      </w:pPr>
      <w:bookmarkStart w:id="52" w:name="_Toc4979"/>
      <w:r>
        <w:rPr>
          <w:rFonts w:hint="default" w:ascii="Times New Roman" w:hAnsi="Times New Roman" w:eastAsia="黑体" w:cs="Times New Roman"/>
          <w:b/>
          <w:kern w:val="0"/>
          <w:sz w:val="30"/>
          <w:szCs w:val="30"/>
          <w:highlight w:val="none"/>
          <w:lang w:val="en-US" w:eastAsia="zh-CN"/>
        </w:rPr>
        <w:t>六</w:t>
      </w:r>
      <w:r>
        <w:rPr>
          <w:rFonts w:hint="default" w:ascii="Times New Roman" w:hAnsi="Times New Roman" w:eastAsia="黑体" w:cs="Times New Roman"/>
          <w:b/>
          <w:kern w:val="0"/>
          <w:sz w:val="30"/>
          <w:szCs w:val="30"/>
          <w:highlight w:val="none"/>
        </w:rPr>
        <w:t>、与有关的现行法律、法规和强制性国家标准的关系</w:t>
      </w:r>
      <w:bookmarkEnd w:id="52"/>
    </w:p>
    <w:p w14:paraId="54ED1537">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与现行法律、法规和强制性标准没有冲突。</w:t>
      </w:r>
    </w:p>
    <w:p w14:paraId="5AA24E0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53" w:name="_Toc21799"/>
      <w:r>
        <w:rPr>
          <w:rFonts w:hint="default" w:ascii="Times New Roman" w:hAnsi="Times New Roman" w:eastAsia="黑体" w:cs="Times New Roman"/>
          <w:b/>
          <w:kern w:val="0"/>
          <w:sz w:val="30"/>
          <w:szCs w:val="30"/>
          <w:highlight w:val="none"/>
          <w:lang w:val="en-US" w:eastAsia="zh-CN"/>
        </w:rPr>
        <w:t>七</w:t>
      </w:r>
      <w:r>
        <w:rPr>
          <w:rFonts w:hint="default" w:ascii="Times New Roman" w:hAnsi="Times New Roman" w:eastAsia="黑体" w:cs="Times New Roman"/>
          <w:b/>
          <w:kern w:val="0"/>
          <w:sz w:val="30"/>
          <w:szCs w:val="30"/>
          <w:highlight w:val="none"/>
        </w:rPr>
        <w:t>、重大意见分歧的处理依据和结果</w:t>
      </w:r>
      <w:bookmarkEnd w:id="53"/>
    </w:p>
    <w:p w14:paraId="6E233F21">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标准制定过程中，未出现重大意见分歧。</w:t>
      </w:r>
    </w:p>
    <w:p w14:paraId="2006BAC7">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54" w:name="_Toc20135"/>
      <w:r>
        <w:rPr>
          <w:rFonts w:hint="default" w:ascii="Times New Roman" w:hAnsi="Times New Roman" w:eastAsia="黑体" w:cs="Times New Roman"/>
          <w:b/>
          <w:kern w:val="0"/>
          <w:sz w:val="30"/>
          <w:szCs w:val="30"/>
          <w:highlight w:val="none"/>
          <w:lang w:val="en-US" w:eastAsia="zh-CN"/>
        </w:rPr>
        <w:t>八</w:t>
      </w:r>
      <w:r>
        <w:rPr>
          <w:rFonts w:hint="default" w:ascii="Times New Roman" w:hAnsi="Times New Roman" w:eastAsia="黑体" w:cs="Times New Roman"/>
          <w:b/>
          <w:kern w:val="0"/>
          <w:sz w:val="30"/>
          <w:szCs w:val="30"/>
          <w:highlight w:val="none"/>
        </w:rPr>
        <w:t>、标准性质的建议说明</w:t>
      </w:r>
      <w:bookmarkEnd w:id="54"/>
    </w:p>
    <w:p w14:paraId="693333F0">
      <w:pPr>
        <w:pStyle w:val="18"/>
        <w:spacing w:line="360" w:lineRule="auto"/>
        <w:ind w:firstLine="56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lang w:val="en-US" w:eastAsia="zh-CN"/>
        </w:rPr>
        <w:t>本</w:t>
      </w:r>
      <w:r>
        <w:rPr>
          <w:rFonts w:hint="default" w:ascii="Times New Roman" w:hAnsi="Times New Roman" w:cs="Times New Roman"/>
          <w:kern w:val="0"/>
          <w:sz w:val="28"/>
          <w:szCs w:val="28"/>
          <w:highlight w:val="none"/>
        </w:rPr>
        <w:t>标准为团体标准，供社会各界自愿使用</w:t>
      </w:r>
      <w:r>
        <w:rPr>
          <w:rFonts w:hint="default" w:ascii="Times New Roman" w:hAnsi="Times New Roman" w:cs="Times New Roman"/>
          <w:kern w:val="0"/>
          <w:sz w:val="28"/>
          <w:szCs w:val="28"/>
          <w:highlight w:val="none"/>
          <w:lang w:eastAsia="zh-CN"/>
        </w:rPr>
        <w:t>。</w:t>
      </w:r>
    </w:p>
    <w:p w14:paraId="7B875CE3">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55" w:name="_Toc23106"/>
      <w:r>
        <w:rPr>
          <w:rFonts w:hint="default" w:ascii="Times New Roman" w:hAnsi="Times New Roman" w:eastAsia="黑体" w:cs="Times New Roman"/>
          <w:b/>
          <w:kern w:val="0"/>
          <w:sz w:val="30"/>
          <w:szCs w:val="30"/>
          <w:highlight w:val="none"/>
          <w:lang w:val="en-US" w:eastAsia="zh-CN"/>
        </w:rPr>
        <w:t>九</w:t>
      </w:r>
      <w:r>
        <w:rPr>
          <w:rFonts w:hint="default" w:ascii="Times New Roman" w:hAnsi="Times New Roman" w:eastAsia="黑体" w:cs="Times New Roman"/>
          <w:b/>
          <w:kern w:val="0"/>
          <w:sz w:val="30"/>
          <w:szCs w:val="30"/>
          <w:highlight w:val="none"/>
        </w:rPr>
        <w:t>、贯彻标准的要求和措施建议</w:t>
      </w:r>
      <w:bookmarkEnd w:id="55"/>
    </w:p>
    <w:p w14:paraId="5221FEA9">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无。</w:t>
      </w:r>
    </w:p>
    <w:p w14:paraId="3FEE95F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56" w:name="_Toc29517"/>
      <w:r>
        <w:rPr>
          <w:rFonts w:hint="default" w:ascii="Times New Roman" w:hAnsi="Times New Roman" w:eastAsia="黑体" w:cs="Times New Roman"/>
          <w:b/>
          <w:kern w:val="0"/>
          <w:sz w:val="30"/>
          <w:szCs w:val="30"/>
          <w:highlight w:val="none"/>
          <w:lang w:val="en-US" w:eastAsia="zh-CN"/>
        </w:rPr>
        <w:t>十</w:t>
      </w:r>
      <w:r>
        <w:rPr>
          <w:rFonts w:hint="default" w:ascii="Times New Roman" w:hAnsi="Times New Roman" w:eastAsia="黑体" w:cs="Times New Roman"/>
          <w:b/>
          <w:kern w:val="0"/>
          <w:sz w:val="30"/>
          <w:szCs w:val="30"/>
          <w:highlight w:val="none"/>
        </w:rPr>
        <w:t>、废止现行相关标准的建议</w:t>
      </w:r>
      <w:bookmarkEnd w:id="56"/>
    </w:p>
    <w:p w14:paraId="66114198">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本标准为首次发布。</w:t>
      </w:r>
    </w:p>
    <w:p w14:paraId="35A8C35D">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57" w:name="_Toc18435"/>
      <w:r>
        <w:rPr>
          <w:rFonts w:hint="default" w:ascii="Times New Roman" w:hAnsi="Times New Roman" w:eastAsia="黑体" w:cs="Times New Roman"/>
          <w:b/>
          <w:kern w:val="0"/>
          <w:sz w:val="30"/>
          <w:szCs w:val="30"/>
          <w:highlight w:val="none"/>
          <w:lang w:val="en-US" w:eastAsia="zh-CN"/>
        </w:rPr>
        <w:t>十一</w:t>
      </w:r>
      <w:r>
        <w:rPr>
          <w:rFonts w:hint="default" w:ascii="Times New Roman" w:hAnsi="Times New Roman" w:eastAsia="黑体" w:cs="Times New Roman"/>
          <w:b/>
          <w:kern w:val="0"/>
          <w:sz w:val="30"/>
          <w:szCs w:val="30"/>
          <w:highlight w:val="none"/>
        </w:rPr>
        <w:t>、其他应予说明的事项</w:t>
      </w:r>
      <w:bookmarkEnd w:id="57"/>
    </w:p>
    <w:p w14:paraId="6210C1F2">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eastAsia="宋体" w:cs="Times New Roman"/>
          <w:kern w:val="0"/>
          <w:sz w:val="28"/>
          <w:szCs w:val="28"/>
          <w:highlight w:val="none"/>
        </w:rPr>
      </w:pPr>
      <w:r>
        <w:rPr>
          <w:rFonts w:hint="default" w:ascii="Times New Roman" w:hAnsi="Times New Roman" w:eastAsia="宋体" w:cs="Times New Roman"/>
          <w:kern w:val="0"/>
          <w:sz w:val="28"/>
          <w:szCs w:val="28"/>
          <w:highlight w:val="none"/>
          <w:lang w:val="en-US" w:eastAsia="zh-CN"/>
        </w:rPr>
        <w:t>无</w:t>
      </w:r>
      <w:r>
        <w:rPr>
          <w:rFonts w:hint="default" w:ascii="Times New Roman" w:hAnsi="Times New Roman" w:eastAsia="宋体" w:cs="Times New Roman"/>
          <w:kern w:val="0"/>
          <w:sz w:val="28"/>
          <w:szCs w:val="28"/>
          <w:highlight w:val="none"/>
        </w:rPr>
        <w:t>。</w:t>
      </w:r>
    </w:p>
    <w:p w14:paraId="72CE7202">
      <w:pPr>
        <w:spacing w:line="540" w:lineRule="exact"/>
        <w:ind w:firstLine="560" w:firstLineChars="200"/>
        <w:rPr>
          <w:rFonts w:hint="default" w:ascii="Times New Roman" w:hAnsi="Times New Roman" w:eastAsia="宋体" w:cs="Times New Roman"/>
          <w:kern w:val="0"/>
          <w:sz w:val="28"/>
          <w:szCs w:val="28"/>
          <w:highlight w:val="none"/>
        </w:rPr>
      </w:pPr>
    </w:p>
    <w:sectPr>
      <w:footerReference r:id="rId4" w:type="default"/>
      <w:pgSz w:w="11906" w:h="16838"/>
      <w:pgMar w:top="1418" w:right="1418" w:bottom="1985" w:left="1797" w:header="851" w:footer="992" w:gutter="0"/>
      <w:pgNumType w:fmt="decimal"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E81D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93A67">
    <w:pPr>
      <w:pStyle w:val="8"/>
    </w:pPr>
    <w:r>
      <w:rPr>
        <w:sz w:val="18"/>
      </w:rPr>
      <w:pict>
        <v:shape id="_x0000_s4097" o:spid="_x0000_s4097" o:spt="202" type="#_x0000_t202" style="position:absolute;left:0pt;height:144pt;width:144pt;mso-position-horizontal:center;mso-position-horizontal-relative:margin;mso-position-vertical:center;mso-wrap-style:none;z-index:251659264;mso-width-relative:page;mso-height-relative:page;" filled="f" stroked="f" coordsize="21600,21600">
          <v:path/>
          <v:fill on="f" focussize="0,0"/>
          <v:stroke on="f"/>
          <v:imagedata o:title=""/>
          <o:lock v:ext="edit" aspectratio="f"/>
          <v:textbox inset="0mm,0mm,0mm,0mm" style="mso-fit-shape-to-text:t;">
            <w:txbxContent>
              <w:p w14:paraId="31FCE302">
                <w:pPr>
                  <w:pStyle w:val="8"/>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2997AD23"/>
    <w:multiLevelType w:val="multilevel"/>
    <w:tmpl w:val="2997AD23"/>
    <w:lvl w:ilvl="0" w:tentative="0">
      <w:start w:val="1"/>
      <w:numFmt w:val="decimal"/>
      <w:pStyle w:val="39"/>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pStyle w:val="43"/>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5"/>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30E4594F"/>
    <w:multiLevelType w:val="multilevel"/>
    <w:tmpl w:val="30E4594F"/>
    <w:lvl w:ilvl="0" w:tentative="0">
      <w:start w:val="1"/>
      <w:numFmt w:val="none"/>
      <w:suff w:val="nothing"/>
      <w:lvlText w:val="%1"/>
      <w:lvlJc w:val="left"/>
      <w:pPr>
        <w:ind w:left="0" w:firstLine="0"/>
      </w:pPr>
    </w:lvl>
    <w:lvl w:ilvl="1" w:tentative="0">
      <w:start w:val="1"/>
      <w:numFmt w:val="decimal"/>
      <w:pStyle w:val="37"/>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41"/>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pStyle w:val="36"/>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3">
    <w:nsid w:val="60D12897"/>
    <w:multiLevelType w:val="multilevel"/>
    <w:tmpl w:val="60D12897"/>
    <w:lvl w:ilvl="0" w:tentative="0">
      <w:start w:val="1"/>
      <w:numFmt w:val="none"/>
      <w:pStyle w:val="40"/>
      <w:lvlText w:val="%1——"/>
      <w:lvlJc w:val="left"/>
      <w:pPr>
        <w:tabs>
          <w:tab w:val="left" w:pos="851"/>
        </w:tabs>
        <w:ind w:left="851" w:hanging="426"/>
      </w:pPr>
      <w:rPr>
        <w:rFonts w:hint="eastAsia" w:ascii="宋体" w:hAnsi="Times New Roman" w:eastAsia="宋体" w:cs="宋体"/>
        <w:b w:val="0"/>
        <w:i w:val="0"/>
        <w:sz w:val="21"/>
      </w:rPr>
    </w:lvl>
    <w:lvl w:ilvl="1" w:tentative="0">
      <w:start w:val="1"/>
      <w:numFmt w:val="none"/>
      <w:pStyle w:val="42"/>
      <w:lvlText w:val=""/>
      <w:lvlJc w:val="left"/>
      <w:pPr>
        <w:ind w:left="851" w:hanging="431"/>
      </w:pPr>
      <w:rPr>
        <w:rFonts w:ascii="Symbol" w:hAnsi="Symbol" w:cs="Symbol"/>
        <w:sz w:val="21"/>
      </w:rPr>
    </w:lvl>
    <w:lvl w:ilvl="2" w:tentative="0">
      <w:start w:val="1"/>
      <w:numFmt w:val="bullet"/>
      <w:lvlText w:val=""/>
      <w:lvlJc w:val="left"/>
      <w:pPr>
        <w:ind w:left="851" w:hanging="426"/>
      </w:pPr>
      <w:rPr>
        <w:rFonts w:hint="default" w:ascii="Wingdings" w:hAnsi="Wingdings" w:cs="Wingdings"/>
        <w:sz w:val="21"/>
      </w:rPr>
    </w:lvl>
    <w:lvl w:ilvl="3" w:tentative="0">
      <w:start w:val="1"/>
      <w:numFmt w:val="decimal"/>
      <w:lvlText w:val="%4."/>
      <w:lvlJc w:val="left"/>
      <w:pPr>
        <w:tabs>
          <w:tab w:val="left" w:pos="2071"/>
        </w:tabs>
        <w:ind w:left="1884" w:hanging="528"/>
      </w:pPr>
    </w:lvl>
    <w:lvl w:ilvl="4" w:tentative="0">
      <w:start w:val="1"/>
      <w:numFmt w:val="lowerLetter"/>
      <w:lvlText w:val="%5)"/>
      <w:lvlJc w:val="left"/>
      <w:pPr>
        <w:tabs>
          <w:tab w:val="left" w:pos="2383"/>
        </w:tabs>
        <w:ind w:left="2196" w:hanging="528"/>
      </w:pPr>
    </w:lvl>
    <w:lvl w:ilvl="5" w:tentative="0">
      <w:start w:val="1"/>
      <w:numFmt w:val="lowerRoman"/>
      <w:lvlText w:val="%6."/>
      <w:lvlJc w:val="right"/>
      <w:pPr>
        <w:tabs>
          <w:tab w:val="left" w:pos="2695"/>
        </w:tabs>
        <w:ind w:left="2508" w:hanging="528"/>
      </w:pPr>
    </w:lvl>
    <w:lvl w:ilvl="6" w:tentative="0">
      <w:start w:val="1"/>
      <w:numFmt w:val="decimal"/>
      <w:lvlText w:val="%7."/>
      <w:lvlJc w:val="left"/>
      <w:pPr>
        <w:tabs>
          <w:tab w:val="left" w:pos="3007"/>
        </w:tabs>
        <w:ind w:left="2820" w:hanging="528"/>
      </w:pPr>
    </w:lvl>
    <w:lvl w:ilvl="7" w:tentative="0">
      <w:start w:val="1"/>
      <w:numFmt w:val="lowerLetter"/>
      <w:lvlText w:val="%8)"/>
      <w:lvlJc w:val="left"/>
      <w:pPr>
        <w:tabs>
          <w:tab w:val="left" w:pos="3319"/>
        </w:tabs>
        <w:ind w:left="3132" w:hanging="528"/>
      </w:pPr>
    </w:lvl>
    <w:lvl w:ilvl="8" w:tentative="0">
      <w:start w:val="1"/>
      <w:numFmt w:val="lowerRoman"/>
      <w:lvlText w:val="%9."/>
      <w:lvlJc w:val="right"/>
      <w:pPr>
        <w:tabs>
          <w:tab w:val="left" w:pos="3631"/>
        </w:tabs>
        <w:ind w:left="3444" w:hanging="528"/>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BjNmNlZTRkMmZjYmYyZTM5OTBkZjEzNTRhZTU4MGUifQ=="/>
  </w:docVars>
  <w:rsids>
    <w:rsidRoot w:val="00BF050A"/>
    <w:rsid w:val="00014360"/>
    <w:rsid w:val="0002253B"/>
    <w:rsid w:val="0004018C"/>
    <w:rsid w:val="000413D1"/>
    <w:rsid w:val="000564F6"/>
    <w:rsid w:val="0007271C"/>
    <w:rsid w:val="00077B87"/>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E59EA"/>
    <w:rsid w:val="00210B1B"/>
    <w:rsid w:val="00231E76"/>
    <w:rsid w:val="002506EB"/>
    <w:rsid w:val="0025166A"/>
    <w:rsid w:val="002645BB"/>
    <w:rsid w:val="00277345"/>
    <w:rsid w:val="0028530B"/>
    <w:rsid w:val="00285841"/>
    <w:rsid w:val="002A391A"/>
    <w:rsid w:val="002D3A9F"/>
    <w:rsid w:val="002E2B56"/>
    <w:rsid w:val="002F3045"/>
    <w:rsid w:val="00305109"/>
    <w:rsid w:val="0031256A"/>
    <w:rsid w:val="0031561A"/>
    <w:rsid w:val="00317D74"/>
    <w:rsid w:val="003257DB"/>
    <w:rsid w:val="00352B42"/>
    <w:rsid w:val="00357168"/>
    <w:rsid w:val="00373823"/>
    <w:rsid w:val="003813CC"/>
    <w:rsid w:val="003A00FA"/>
    <w:rsid w:val="003A0364"/>
    <w:rsid w:val="003A509B"/>
    <w:rsid w:val="003B6441"/>
    <w:rsid w:val="003C1B72"/>
    <w:rsid w:val="003F7535"/>
    <w:rsid w:val="00401889"/>
    <w:rsid w:val="00410BC2"/>
    <w:rsid w:val="00413119"/>
    <w:rsid w:val="004172C0"/>
    <w:rsid w:val="004252F2"/>
    <w:rsid w:val="00435663"/>
    <w:rsid w:val="00436EE9"/>
    <w:rsid w:val="00463563"/>
    <w:rsid w:val="004803B5"/>
    <w:rsid w:val="004B2F65"/>
    <w:rsid w:val="004B6E6F"/>
    <w:rsid w:val="004F4747"/>
    <w:rsid w:val="004F6F77"/>
    <w:rsid w:val="00520FFB"/>
    <w:rsid w:val="005251AE"/>
    <w:rsid w:val="00534D5E"/>
    <w:rsid w:val="00534FAE"/>
    <w:rsid w:val="00545EB7"/>
    <w:rsid w:val="00596690"/>
    <w:rsid w:val="005A4896"/>
    <w:rsid w:val="005B7647"/>
    <w:rsid w:val="00601423"/>
    <w:rsid w:val="00606BF2"/>
    <w:rsid w:val="006252E3"/>
    <w:rsid w:val="006878C7"/>
    <w:rsid w:val="006965B4"/>
    <w:rsid w:val="006A01A1"/>
    <w:rsid w:val="006B0B1B"/>
    <w:rsid w:val="006B6D21"/>
    <w:rsid w:val="006B75F5"/>
    <w:rsid w:val="006E5B41"/>
    <w:rsid w:val="00705D75"/>
    <w:rsid w:val="007417C1"/>
    <w:rsid w:val="00747D95"/>
    <w:rsid w:val="00752097"/>
    <w:rsid w:val="00756D5D"/>
    <w:rsid w:val="00776D4B"/>
    <w:rsid w:val="0079502D"/>
    <w:rsid w:val="00795550"/>
    <w:rsid w:val="007A2FC6"/>
    <w:rsid w:val="007A5AAC"/>
    <w:rsid w:val="007C21C2"/>
    <w:rsid w:val="007D4B87"/>
    <w:rsid w:val="0082096B"/>
    <w:rsid w:val="008257DF"/>
    <w:rsid w:val="008368E2"/>
    <w:rsid w:val="008665F7"/>
    <w:rsid w:val="0086666E"/>
    <w:rsid w:val="00874660"/>
    <w:rsid w:val="008B18A3"/>
    <w:rsid w:val="008B34EE"/>
    <w:rsid w:val="008F54B9"/>
    <w:rsid w:val="008F5B83"/>
    <w:rsid w:val="00910049"/>
    <w:rsid w:val="0091708A"/>
    <w:rsid w:val="00932F00"/>
    <w:rsid w:val="00966791"/>
    <w:rsid w:val="00981821"/>
    <w:rsid w:val="00987820"/>
    <w:rsid w:val="009943E0"/>
    <w:rsid w:val="009A16C4"/>
    <w:rsid w:val="009A27FC"/>
    <w:rsid w:val="009A488E"/>
    <w:rsid w:val="009A5078"/>
    <w:rsid w:val="009A6F90"/>
    <w:rsid w:val="009B1FF6"/>
    <w:rsid w:val="009D56C3"/>
    <w:rsid w:val="009E6D91"/>
    <w:rsid w:val="009F0E3F"/>
    <w:rsid w:val="00A06F10"/>
    <w:rsid w:val="00A262E4"/>
    <w:rsid w:val="00A27845"/>
    <w:rsid w:val="00A31084"/>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51238"/>
    <w:rsid w:val="00C52B4D"/>
    <w:rsid w:val="00C62D4B"/>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15D39"/>
    <w:rsid w:val="00E16774"/>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EB46380"/>
    <w:rsid w:val="0FF06439"/>
    <w:rsid w:val="110F4177"/>
    <w:rsid w:val="12626ED1"/>
    <w:rsid w:val="169901DF"/>
    <w:rsid w:val="170D2EB2"/>
    <w:rsid w:val="18E71105"/>
    <w:rsid w:val="19312DFE"/>
    <w:rsid w:val="1F15287C"/>
    <w:rsid w:val="255B6B18"/>
    <w:rsid w:val="2C2D1EE2"/>
    <w:rsid w:val="2D467F37"/>
    <w:rsid w:val="2DAD6C8F"/>
    <w:rsid w:val="30067F5D"/>
    <w:rsid w:val="3AFC0F1D"/>
    <w:rsid w:val="3BDF00F2"/>
    <w:rsid w:val="40E14CE3"/>
    <w:rsid w:val="4E77301A"/>
    <w:rsid w:val="542D0422"/>
    <w:rsid w:val="57BF1D4F"/>
    <w:rsid w:val="66292AFD"/>
    <w:rsid w:val="663F4E49"/>
    <w:rsid w:val="67A80C44"/>
    <w:rsid w:val="6AA02B84"/>
    <w:rsid w:val="6B9E6287"/>
    <w:rsid w:val="6E433E9B"/>
    <w:rsid w:val="6FF12124"/>
    <w:rsid w:val="706C61B1"/>
    <w:rsid w:val="70764670"/>
    <w:rsid w:val="721F5CDA"/>
    <w:rsid w:val="729E236D"/>
    <w:rsid w:val="79E74A2C"/>
    <w:rsid w:val="7B3F6696"/>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kern w:val="0"/>
      <w:sz w:val="21"/>
      <w:szCs w:val="20"/>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kern w:val="0"/>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pPr>
      <w:ind w:leftChars="0"/>
    </w:pPr>
    <w:rPr>
      <w:rFonts w:asciiTheme="minorHAnsi" w:hAnsiTheme="minorHAnsi" w:eastAsiaTheme="minorEastAsia" w:cstheme="minorBidi"/>
      <w:sz w:val="20"/>
      <w:szCs w:val="20"/>
    </w:rPr>
  </w:style>
  <w:style w:type="character" w:customStyle="1" w:styleId="34">
    <w:name w:val="标准文件_段 Char"/>
    <w:basedOn w:val="14"/>
    <w:link w:val="35"/>
    <w:qFormat/>
    <w:uiPriority w:val="0"/>
    <w:rPr>
      <w:rFonts w:hint="eastAsia" w:ascii="宋体" w:hAnsi="Times New Roman" w:eastAsia="宋体" w:cs="宋体"/>
      <w:sz w:val="21"/>
    </w:rPr>
  </w:style>
  <w:style w:type="paragraph" w:customStyle="1" w:styleId="35">
    <w:name w:val="标准文件_段"/>
    <w:basedOn w:val="1"/>
    <w:link w:val="34"/>
    <w:qFormat/>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paragraph" w:customStyle="1" w:styleId="36">
    <w:name w:val="标准文件_二级无标题"/>
    <w:qFormat/>
    <w:uiPriority w:val="0"/>
    <w:pPr>
      <w:keepNext w:val="0"/>
      <w:keepLines w:val="0"/>
      <w:widowControl w:val="0"/>
      <w:numPr>
        <w:ilvl w:val="3"/>
        <w:numId w:val="2"/>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paragraph" w:customStyle="1" w:styleId="37">
    <w:name w:val="标准文件_章标题"/>
    <w:basedOn w:val="1"/>
    <w:next w:val="35"/>
    <w:qFormat/>
    <w:uiPriority w:val="0"/>
    <w:pPr>
      <w:keepNext w:val="0"/>
      <w:keepLines w:val="0"/>
      <w:widowControl/>
      <w:numPr>
        <w:ilvl w:val="1"/>
        <w:numId w:val="2"/>
      </w:numPr>
      <w:suppressLineNumbers w:val="0"/>
      <w:adjustRightInd/>
      <w:spacing w:before="100" w:beforeLines="100" w:beforeAutospacing="0" w:after="100" w:afterLines="100" w:afterAutospacing="0" w:line="240" w:lineRule="auto"/>
      <w:ind w:left="0" w:right="0" w:firstLine="0"/>
      <w:jc w:val="both"/>
      <w:outlineLvl w:val="0"/>
    </w:pPr>
    <w:rPr>
      <w:rFonts w:hint="eastAsia" w:ascii="黑体" w:hAnsi="Times New Roman" w:eastAsia="黑体" w:cs="Times New Roman"/>
      <w:kern w:val="0"/>
      <w:sz w:val="21"/>
      <w:szCs w:val="20"/>
      <w:lang w:val="en-US" w:eastAsia="zh-CN" w:bidi="ar"/>
    </w:rPr>
  </w:style>
  <w:style w:type="paragraph" w:customStyle="1" w:styleId="38">
    <w:name w:val="标准文件_表格"/>
    <w:basedOn w:val="35"/>
    <w:qFormat/>
    <w:uiPriority w:val="0"/>
    <w:pPr>
      <w:keepNext w:val="0"/>
      <w:keepLines w:val="0"/>
      <w:widowControl/>
      <w:suppressLineNumbers w:val="0"/>
      <w:autoSpaceDE w:val="0"/>
      <w:autoSpaceDN w:val="0"/>
      <w:spacing w:before="0" w:beforeAutospacing="0" w:after="0" w:afterAutospacing="0"/>
      <w:ind w:left="0" w:right="0" w:firstLine="0" w:firstLineChars="0"/>
      <w:jc w:val="center"/>
    </w:pPr>
    <w:rPr>
      <w:rFonts w:hint="eastAsia" w:ascii="宋体" w:hAnsi="Times New Roman" w:eastAsia="宋体" w:cs="Times New Roman"/>
      <w:kern w:val="0"/>
      <w:sz w:val="18"/>
      <w:szCs w:val="20"/>
      <w:lang w:val="en-US" w:eastAsia="zh-CN" w:bidi="ar"/>
    </w:rPr>
  </w:style>
  <w:style w:type="paragraph" w:customStyle="1" w:styleId="39">
    <w:name w:val="标准文件_正文表标题"/>
    <w:basedOn w:val="1"/>
    <w:next w:val="35"/>
    <w:qFormat/>
    <w:uiPriority w:val="0"/>
    <w:pPr>
      <w:keepNext w:val="0"/>
      <w:keepLines w:val="0"/>
      <w:widowControl/>
      <w:numPr>
        <w:ilvl w:val="0"/>
        <w:numId w:val="3"/>
      </w:numPr>
      <w:suppressLineNumbers w:val="0"/>
      <w:tabs>
        <w:tab w:val="left" w:pos="0"/>
      </w:tabs>
      <w:adjustRightInd/>
      <w:spacing w:before="50" w:beforeLines="50" w:beforeAutospacing="0" w:after="50" w:afterLines="50" w:afterAutospacing="0" w:line="240" w:lineRule="auto"/>
      <w:ind w:left="0" w:right="0" w:firstLine="0"/>
      <w:jc w:val="center"/>
    </w:pPr>
    <w:rPr>
      <w:rFonts w:hint="eastAsia" w:ascii="黑体" w:hAnsi="Times New Roman" w:eastAsia="黑体" w:cs="Times New Roman"/>
      <w:kern w:val="0"/>
      <w:sz w:val="21"/>
      <w:szCs w:val="20"/>
      <w:lang w:val="en-US" w:eastAsia="zh-CN" w:bidi="ar"/>
    </w:rPr>
  </w:style>
  <w:style w:type="paragraph" w:customStyle="1" w:styleId="40">
    <w:name w:val="标准文件_一级项"/>
    <w:basedOn w:val="1"/>
    <w:qFormat/>
    <w:uiPriority w:val="0"/>
    <w:pPr>
      <w:keepNext w:val="0"/>
      <w:keepLines w:val="0"/>
      <w:widowControl/>
      <w:numPr>
        <w:ilvl w:val="0"/>
        <w:numId w:val="4"/>
      </w:numPr>
      <w:suppressLineNumbers w:val="0"/>
      <w:adjustRightInd/>
      <w:spacing w:before="0" w:beforeAutospacing="0" w:after="0" w:afterAutospacing="0" w:line="240" w:lineRule="auto"/>
      <w:ind w:left="851" w:right="0" w:hanging="426"/>
      <w:jc w:val="left"/>
    </w:pPr>
    <w:rPr>
      <w:rFonts w:hint="eastAsia" w:ascii="宋体" w:hAnsi="Times New Roman" w:eastAsia="宋体" w:cs="Times New Roman"/>
      <w:kern w:val="0"/>
      <w:sz w:val="21"/>
      <w:szCs w:val="20"/>
      <w:lang w:val="en-US" w:eastAsia="zh-CN" w:bidi="ar"/>
    </w:rPr>
  </w:style>
  <w:style w:type="paragraph" w:customStyle="1" w:styleId="41">
    <w:name w:val="标准文件_一级条标题"/>
    <w:basedOn w:val="37"/>
    <w:next w:val="35"/>
    <w:qFormat/>
    <w:uiPriority w:val="0"/>
    <w:pPr>
      <w:keepNext w:val="0"/>
      <w:keepLines w:val="0"/>
      <w:widowControl/>
      <w:numPr>
        <w:ilvl w:val="2"/>
        <w:numId w:val="2"/>
      </w:numPr>
      <w:suppressLineNumbers w:val="0"/>
      <w:spacing w:before="50" w:beforeLines="50" w:beforeAutospacing="0" w:after="50" w:afterLines="50" w:afterAutospacing="0"/>
      <w:ind w:left="0" w:right="0" w:firstLine="0"/>
      <w:jc w:val="both"/>
      <w:outlineLvl w:val="1"/>
    </w:pPr>
    <w:rPr>
      <w:rFonts w:hint="eastAsia" w:ascii="黑体" w:hAnsi="Times New Roman" w:eastAsia="黑体" w:cs="Times New Roman"/>
      <w:kern w:val="0"/>
      <w:sz w:val="21"/>
      <w:szCs w:val="20"/>
      <w:lang w:val="en-US" w:eastAsia="zh-CN" w:bidi="ar"/>
    </w:rPr>
  </w:style>
  <w:style w:type="paragraph" w:customStyle="1" w:styleId="42">
    <w:name w:val="标准文件_二级项2"/>
    <w:basedOn w:val="35"/>
    <w:qFormat/>
    <w:uiPriority w:val="0"/>
    <w:pPr>
      <w:keepNext w:val="0"/>
      <w:keepLines w:val="0"/>
      <w:widowControl/>
      <w:numPr>
        <w:ilvl w:val="1"/>
        <w:numId w:val="4"/>
      </w:numPr>
      <w:suppressLineNumbers w:val="0"/>
      <w:tabs>
        <w:tab w:val="left" w:pos="360"/>
      </w:tabs>
      <w:autoSpaceDE w:val="0"/>
      <w:autoSpaceDN w:val="0"/>
      <w:spacing w:before="0" w:beforeAutospacing="0" w:after="0" w:afterAutospacing="0"/>
      <w:ind w:left="0" w:right="0" w:firstLine="0" w:firstLineChars="0"/>
      <w:jc w:val="both"/>
    </w:pPr>
    <w:rPr>
      <w:rFonts w:hint="eastAsia" w:ascii="宋体" w:hAnsi="Times New Roman" w:eastAsia="宋体" w:cs="Times New Roman"/>
      <w:kern w:val="0"/>
      <w:sz w:val="21"/>
      <w:szCs w:val="20"/>
      <w:lang w:val="en-US" w:eastAsia="zh-CN" w:bidi="ar"/>
    </w:rPr>
  </w:style>
  <w:style w:type="paragraph" w:customStyle="1" w:styleId="43">
    <w:name w:val="标准文件_术语条一"/>
    <w:basedOn w:val="1"/>
    <w:next w:val="35"/>
    <w:qFormat/>
    <w:uiPriority w:val="0"/>
    <w:pPr>
      <w:keepNext w:val="0"/>
      <w:keepLines w:val="0"/>
      <w:widowControl/>
      <w:numPr>
        <w:ilvl w:val="2"/>
        <w:numId w:val="3"/>
      </w:numPr>
      <w:suppressLineNumbers w:val="0"/>
      <w:adjustRightInd/>
      <w:spacing w:before="0" w:beforeAutospacing="0" w:after="0" w:afterAutospacing="0" w:line="240" w:lineRule="auto"/>
      <w:ind w:left="1417" w:right="0" w:hanging="567"/>
      <w:jc w:val="both"/>
    </w:pPr>
    <w:rPr>
      <w:rFonts w:hint="eastAsia" w:ascii="宋体" w:hAnsi="Times New Roman" w:eastAsia="宋体" w:cs="Times New Roman"/>
      <w:kern w:val="0"/>
      <w:sz w:val="21"/>
      <w:szCs w:val="2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22</Pages>
  <Words>2593</Words>
  <Characters>2776</Characters>
  <Lines>62</Lines>
  <Paragraphs>17</Paragraphs>
  <TotalTime>5</TotalTime>
  <ScaleCrop>false</ScaleCrop>
  <LinksUpToDate>false</LinksUpToDate>
  <CharactersWithSpaces>2844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2019-06-25T01:51:00Z</dcterms:created>
  <dc:creator>yao jiang</dc:creator>
  <cp:lastModifiedBy>Shimmer</cp:lastModifiedBy>
  <dcterms:modified xsi:type="dcterms:W3CDTF">2025-12-15T08:56:20Z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286513CB856B4AD4B4C264CC0310DEB1</vt:lpwstr>
  </property>
  <property fmtid="{D5CDD505-2E9C-101B-9397-08002B2CF9AE}" pid="4" name="KSOTemplateDocerSaveRecord">
    <vt:lpwstr>eyJoZGlkIjoiYmMyN2Y1NjU1MGJkOTJlMGU2NjMwODJlNzlmZmZjZDkiLCJ1c2VySWQiOiIxNjEyNTI2NzM3In0=</vt:lpwstr>
  </property>
</Properties>
</file>