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绿色食堂建设管理规范</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绿色食堂建设管理规范</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绿色食堂建设管理规范</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21EF04C5">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社会对可持续发展理念的重视，绿色餐饮已成为餐饮行业的重要发展方向。食堂作为集体用餐的重要场所，其运营模式直接影响资源利用、环境保护和公众健康。然而，当前许多食堂在建设和运营过程中仍存在诸多问题，如能源消耗高、食材浪费严重、废弃物处理不规范等，缺乏系统化的绿色管理标准。部分食堂虽尝试推行环保措施，但因缺乏统一规范，效果参差不齐，难以形成可持续的绿色发展模式。此外，公众对绿色餐饮的认知不足，也制约了绿色食堂的普及。因此，制定一套科学、可操作的团体标准，对引导食堂行业向绿色化、规范化转型具有重要意义。</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绿色食堂建设管理规范》团体标准的出台，将为食堂行业的绿色转型提供明确的技术指导和评价依据。通过规范节能降耗、食材采购、废弃物处理等关键环节，推动食堂减少资源浪费，降低碳排放，提升环境友好性。同时，该标准有助于提高公众对绿色餐饮的认知，促进健康饮食文化的普及。从行业层面看，统一的规范能避免企业盲目探索，降低绿色改造成本，增强市场竞争力。此外，该标准的推广还可带动上下游产业链的绿色升级，助力实现“双碳”目标，为社会可持续发展提供实践支撑。</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绿色食堂建设管理规范</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绿色食堂建设管理规范</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bookmarkStart w:id="11" w:name="_GoBack"/>
      <w:bookmarkEnd w:id="11"/>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299CEA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03E06D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本文件规定了绿色食堂建设管理的术语和定义、基本原则、场所建设、设备设施、原料管理、加工制作、供餐服务。</w:t>
      </w:r>
    </w:p>
    <w:p w14:paraId="53D7EF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本文件适用于绿色食堂建设管理.</w:t>
      </w:r>
    </w:p>
    <w:p w14:paraId="1E1D8C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6EB1F0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B5F50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2760 食品安全国家标准 食品添加剂使用标准</w:t>
      </w:r>
    </w:p>
    <w:p w14:paraId="52A1AA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4806.1 食品安全国家标准 食品接触材料及制品通用安全要求</w:t>
      </w:r>
    </w:p>
    <w:p w14:paraId="1F245C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12348 工业企业厂界环境噪声排放标准</w:t>
      </w:r>
    </w:p>
    <w:p w14:paraId="50FEF0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18883 室内空气质量标准</w:t>
      </w:r>
    </w:p>
    <w:p w14:paraId="5F69AE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50016 建筑设计防火规范</w:t>
      </w:r>
    </w:p>
    <w:p w14:paraId="745A90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50189 公共建筑节能设计标准</w:t>
      </w:r>
    </w:p>
    <w:p w14:paraId="51785E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50325 民用建筑工程室内环境污染控制标准</w:t>
      </w:r>
    </w:p>
    <w:p w14:paraId="11DF56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50763 无障碍设计规范</w:t>
      </w:r>
    </w:p>
    <w:p w14:paraId="400B74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64 饮食建筑设计标准</w:t>
      </w:r>
    </w:p>
    <w:p w14:paraId="127578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3FAA49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02D147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31A747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绿色食堂 green canteen</w:t>
      </w:r>
    </w:p>
    <w:p w14:paraId="795F9D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采用环保节能设施、实施全过程资源节约与污染防控，并提供健康膳食服务的集体用餐场所。</w:t>
      </w:r>
    </w:p>
    <w:p w14:paraId="64179A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3.2　</w:t>
      </w:r>
    </w:p>
    <w:p w14:paraId="789CE6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绿色食材 green ingredients</w:t>
      </w:r>
    </w:p>
    <w:p w14:paraId="363926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通过有机产品、绿色食品或无公害农产品认证，符合低碳供应链要求的食用原料。</w:t>
      </w:r>
    </w:p>
    <w:p w14:paraId="49747D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基本原则</w:t>
      </w:r>
    </w:p>
    <w:p w14:paraId="150C43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环境责任优先</w:t>
      </w:r>
    </w:p>
    <w:p w14:paraId="128367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应贯穿生态环境保护理念于食堂规划、建设、运营及废弃物处理全周期。</w:t>
      </w:r>
    </w:p>
    <w:p w14:paraId="56233D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应采取有效控制措施削减油烟、废水、噪声及固体废弃物污染，排放指标应符合或严于法规限值。</w:t>
      </w:r>
    </w:p>
    <w:p w14:paraId="210A8C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宜优先选用可再生建材、清洁能源与低环境负荷设备设施。</w:t>
      </w:r>
    </w:p>
    <w:p w14:paraId="2CACA7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4.1.4　可探索参与生态补偿或碳减排行动，强化环境责任担当。</w:t>
      </w:r>
    </w:p>
    <w:p w14:paraId="76AFD5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健康营养导向</w:t>
      </w:r>
    </w:p>
    <w:p w14:paraId="529977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应确保食品安全并逐步提升膳食营养均衡性。</w:t>
      </w:r>
    </w:p>
    <w:p w14:paraId="648769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食材采购应优先选择新鲜、低污染产品，宜提高绿色有机食材比例。</w:t>
      </w:r>
    </w:p>
    <w:p w14:paraId="39DD1E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加工过程应控制油盐糖用量，倡导少油少盐少糖烹饪工艺。</w:t>
      </w:r>
    </w:p>
    <w:p w14:paraId="72E530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4.2.4　应公示食物营养成分，引导健康文明就餐行为。</w:t>
      </w:r>
    </w:p>
    <w:p w14:paraId="5D84CC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资源高效利用</w:t>
      </w:r>
    </w:p>
    <w:p w14:paraId="4AA7CE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应采用节能建筑结构、高效设备及智能计量系统。</w:t>
      </w:r>
    </w:p>
    <w:p w14:paraId="229F90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应实施食材全流程精细化管理，显著降低损耗与浪费。</w:t>
      </w:r>
    </w:p>
    <w:p w14:paraId="5E6B6A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宜推广节水器具及中水回用技术。</w:t>
      </w:r>
    </w:p>
    <w:p w14:paraId="59E9A9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4.3.4　废弃物处理应遵循减量化、资源化、无害化路径。</w:t>
      </w:r>
    </w:p>
    <w:p w14:paraId="7424D8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全程绿色行为</w:t>
      </w:r>
    </w:p>
    <w:p w14:paraId="448305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管理层应制定绿色管理制度并提供资源保障。</w:t>
      </w:r>
    </w:p>
    <w:p w14:paraId="7180B2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从业人员应接受绿色操作培训并规范执行岗位流程。</w:t>
      </w:r>
    </w:p>
    <w:p w14:paraId="715930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应引导就餐者践行光盘行动、减少一次性用品及垃圾分类。</w:t>
      </w:r>
    </w:p>
    <w:p w14:paraId="059B15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4.4.4　可推动供应商共建绿色供应链体系。</w:t>
      </w:r>
    </w:p>
    <w:p w14:paraId="29A519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持续改进创新</w:t>
      </w:r>
    </w:p>
    <w:p w14:paraId="3DD460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应建立绿色绩效评价体系并定期开展成效监测。</w:t>
      </w:r>
    </w:p>
    <w:p w14:paraId="179328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应基于评估结果识别改进方向，制定实施优化措施。</w:t>
      </w:r>
    </w:p>
    <w:p w14:paraId="03813E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宜引入先进绿色技术与管理实践，鼓励创新探索。</w:t>
      </w:r>
    </w:p>
    <w:p w14:paraId="104680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4.5.4　应确保管理体系持续满足适宜性、充分性与有效性要求。</w:t>
      </w:r>
    </w:p>
    <w:p w14:paraId="7BA943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场所建设</w:t>
      </w:r>
    </w:p>
    <w:p w14:paraId="279E24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选址要求</w:t>
      </w:r>
    </w:p>
    <w:p w14:paraId="78F19F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食堂选址应远离污染源，避免设置在垃圾处理场、化工企业、粉尘排放区等环境风险区域下风向。</w:t>
      </w:r>
    </w:p>
    <w:p w14:paraId="688C09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宜优先选择交通便利、靠近主要服务人群的场所，减少就餐者通勤距离与能源消耗。</w:t>
      </w:r>
    </w:p>
    <w:p w14:paraId="5F4C13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场地地质条件应满足建筑安全要求，避开地质灾害易发区及洪涝高风险区。</w:t>
      </w:r>
    </w:p>
    <w:p w14:paraId="0481C1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可结合既有建筑改造建设，充分利用现有基础设施资源。</w:t>
      </w:r>
    </w:p>
    <w:p w14:paraId="00EF68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建筑规划</w:t>
      </w:r>
    </w:p>
    <w:p w14:paraId="7B833D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建筑布局应符合食品加工流程单向性要求，避免生熟交叉污染风险。</w:t>
      </w:r>
    </w:p>
    <w:p w14:paraId="74DA6A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应合理设计人员与物料进出通道，实现加工区、就餐区、仓储区、废弃物转运区分离。</w:t>
      </w:r>
    </w:p>
    <w:p w14:paraId="7A228B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建筑空间高度应满足设备安装、通风及清洁维护需求，宜采用大跨度结构减少承重墙。</w:t>
      </w:r>
    </w:p>
    <w:p w14:paraId="1A5DCC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可预留扩展空间以适应未来运营规模调整。</w:t>
      </w:r>
    </w:p>
    <w:p w14:paraId="1B69CB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功能分区</w:t>
      </w:r>
    </w:p>
    <w:p w14:paraId="44C19F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应独立设置原材料验收区、冷藏冷冻库、主食加工区、副食加工区、烹饪区、备餐区、餐具清洗消毒区及就餐区。</w:t>
      </w:r>
    </w:p>
    <w:p w14:paraId="530C73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清洁区与非清洁区之间应设置物理隔断，人员出入口宜配置更衣、洗手、消毒设施。</w:t>
      </w:r>
    </w:p>
    <w:p w14:paraId="1FBF98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就餐区人均使用面积应符合JGJ 64要求，并保障通道畅通无阻。</w:t>
      </w:r>
    </w:p>
    <w:p w14:paraId="145BBD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宜设置绿色宣传区，展示节能环保措施及健康饮食知识。</w:t>
      </w:r>
    </w:p>
    <w:p w14:paraId="1E7A2C0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环境控制</w:t>
      </w:r>
    </w:p>
    <w:p w14:paraId="4FF903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加工区墙面、地面、天花板应使用防霉、防潮、易清洁的环保材料。</w:t>
      </w:r>
    </w:p>
    <w:p w14:paraId="1F00A8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自然采光与通风宜作为优先方案，窗户可开启面积应不小于室内面积1/6。</w:t>
      </w:r>
    </w:p>
    <w:p w14:paraId="7750A0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人工照明系统应分区控制，加工区照度值应≥200 lux，就餐区宜采用柔光设计。</w:t>
      </w:r>
    </w:p>
    <w:p w14:paraId="6B1F45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5.4.4　应配备机械通风系统，烹饪区油烟罩面风速应≥0.5 m/s，补风量宜为排风量85%以上。</w:t>
      </w:r>
    </w:p>
    <w:p w14:paraId="29B58D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节能设计</w:t>
      </w:r>
    </w:p>
    <w:p w14:paraId="350449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建筑围护结构传热系数应符合GB 50189公共建筑节能要求。</w:t>
      </w:r>
    </w:p>
    <w:p w14:paraId="0072F7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外窗宜采用中空玻璃或低辐射镀膜玻璃，西晒墙面可设置遮阳设施。</w:t>
      </w:r>
    </w:p>
    <w:p w14:paraId="55850E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空调冷热源系统宜选用能效等级1级设备，并配置分区温控装置。</w:t>
      </w:r>
    </w:p>
    <w:p w14:paraId="6C9678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5.5.4　可集成太阳能光伏、光热系统为部分用能提供可再生能源。</w:t>
      </w:r>
    </w:p>
    <w:p w14:paraId="63A0DA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给排水系统</w:t>
      </w:r>
    </w:p>
    <w:p w14:paraId="2CECE1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应设置独立计量水表监控各功能区用水量。</w:t>
      </w:r>
    </w:p>
    <w:p w14:paraId="16A092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加工区给水管路应采用食品级不锈钢材质，排水管径应满足峰值流量需求。</w:t>
      </w:r>
    </w:p>
    <w:p w14:paraId="291A74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宜安装节水型水龙头、洗碗机、冲厕设备，节水器具覆盖率应达100%。</w:t>
      </w:r>
    </w:p>
    <w:p w14:paraId="76E911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5.6.4　可建设中水回用系统，将洗菜、洗手废水处理后用于绿化灌溉或冲厕。</w:t>
      </w:r>
    </w:p>
    <w:p w14:paraId="664AE2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辅助设施</w:t>
      </w:r>
    </w:p>
    <w:p w14:paraId="61D806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应配置专用餐厨废弃物暂存间，位置远离加工区且密闭防渗防臭。</w:t>
      </w:r>
    </w:p>
    <w:p w14:paraId="378AB3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消防设施应符合GB 50016要求，厨房区域应配置燃气泄漏报警装置。</w:t>
      </w:r>
    </w:p>
    <w:p w14:paraId="5F190A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无障碍设施应按GB 50763标准设置坡道、低位服务台及专用卫生间。</w:t>
      </w:r>
    </w:p>
    <w:p w14:paraId="5EC0AE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5.7.4　室外场地宜规划透水铺装与绿化带，减少热岛效应。</w:t>
      </w:r>
    </w:p>
    <w:p w14:paraId="20F9BF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绿色建材</w:t>
      </w:r>
    </w:p>
    <w:p w14:paraId="283627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装修材料应符合GB 50325室内污染物限值标准。</w:t>
      </w:r>
    </w:p>
    <w:p w14:paraId="40885C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宜优先选用可再生材料、本地建材及带有绿色产品认证的装饰材料。</w:t>
      </w:r>
    </w:p>
    <w:p w14:paraId="4A4905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地面材料应具备防滑、耐磨、耐腐蚀性能，坡度设计应利于排水。</w:t>
      </w:r>
    </w:p>
    <w:p w14:paraId="6E67ED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设备设施</w:t>
      </w:r>
    </w:p>
    <w:p w14:paraId="2406E0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通用要求</w:t>
      </w:r>
    </w:p>
    <w:p w14:paraId="36D737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设备选型应符合食品安全、节能环保及人体工程学要求。</w:t>
      </w:r>
    </w:p>
    <w:p w14:paraId="797AC6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应优先选用国家能效标识1级或节能产品认证目录内设备。</w:t>
      </w:r>
    </w:p>
    <w:p w14:paraId="761787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设备材质应耐腐蚀、易清洁，与食品接触部分应采用食品级不锈钢。</w:t>
      </w:r>
    </w:p>
    <w:p w14:paraId="7FC413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6.1.4　可建立设备全生命周期档案，记录采购、运行、维护及报废数据。</w:t>
      </w:r>
    </w:p>
    <w:p w14:paraId="201FD8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烹饪加工设备</w:t>
      </w:r>
    </w:p>
    <w:p w14:paraId="00C905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灶具应选用天然气等清洁能源，热效率宜≥55%，并配置自动点火与熄火保护装置。</w:t>
      </w:r>
    </w:p>
    <w:p w14:paraId="3AE6A0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蒸柜、烤箱等热加工设备应具备温度精准控制与余热回收功能。</w:t>
      </w:r>
    </w:p>
    <w:p w14:paraId="3CA37E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大型食堂宜配置智能化炒菜机器人，减少人工操作能耗差异。</w:t>
      </w:r>
    </w:p>
    <w:p w14:paraId="67477A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　油烟净化系统净化效率应≥90%，排烟管道宜定期自动清洗。</w:t>
      </w:r>
    </w:p>
    <w:p w14:paraId="3C38DD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制冷保鲜设备</w:t>
      </w:r>
    </w:p>
    <w:p w14:paraId="6CA628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冷库与冷藏柜制冷剂应符合环保要求，不应使用含CFCs物质。</w:t>
      </w:r>
    </w:p>
    <w:p w14:paraId="3D7C30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冷库门应配置风幕机或自动闭门装置，冷柜宜采用双层玻璃门体。</w:t>
      </w:r>
    </w:p>
    <w:p w14:paraId="605913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制冷设备应安装温度实时监测与报警系统，库温波动范围应≤±2 ℃。</w:t>
      </w:r>
    </w:p>
    <w:p w14:paraId="544309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可应用变频技术调节压缩机功率，降低待机能耗。</w:t>
      </w:r>
    </w:p>
    <w:p w14:paraId="2AC61D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清洗消毒设备</w:t>
      </w:r>
    </w:p>
    <w:p w14:paraId="0D7928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洗碗机应具备高温杀菌功能，水耗宜≤1.2 L/套餐具。</w:t>
      </w:r>
    </w:p>
    <w:p w14:paraId="7C15D1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宜配置超声波洗菜机或臭氧消毒机替代化学洗涤剂。</w:t>
      </w:r>
    </w:p>
    <w:p w14:paraId="6C21C6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餐具保洁柜应内置紫外线消毒装置，保持密闭防尘。</w:t>
      </w:r>
    </w:p>
    <w:p w14:paraId="66C669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6.4.4　清洗区应设置油水分离器，分离效率应≥95%。</w:t>
      </w:r>
    </w:p>
    <w:p w14:paraId="64CCA0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食品处理设备</w:t>
      </w:r>
    </w:p>
    <w:p w14:paraId="19247A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切配机械应配备安全防护罩，刀具材质宜选用抗菌不锈钢。</w:t>
      </w:r>
    </w:p>
    <w:p w14:paraId="278006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和面机、搅拌机等设备宜采用变频电机降低空载损耗。</w:t>
      </w:r>
    </w:p>
    <w:p w14:paraId="758D76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面点加工区应独立设置全自动馒头机、饺子机等专用设备。</w:t>
      </w:r>
    </w:p>
    <w:p w14:paraId="4EFDD6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6.5.4　食品输送带应选用无毒耐温材料，坡度设计应避免汤汁滴漏。</w:t>
      </w:r>
    </w:p>
    <w:p w14:paraId="7B07C8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供餐服务设备</w:t>
      </w:r>
    </w:p>
    <w:p w14:paraId="749411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保温售饭台温度应维持菜肴≥60 ℃、凉菜≤10 ℃。</w:t>
      </w:r>
    </w:p>
    <w:p w14:paraId="6F6FE1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自助餐台宜配备感应式取餐夹及智能计价系统。</w:t>
      </w:r>
    </w:p>
    <w:p w14:paraId="3227AD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应使用可循环消毒餐具，减少一次性餐具提供。</w:t>
      </w:r>
    </w:p>
    <w:p w14:paraId="372C43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6.6.4　饮品区可配置直饮水系统，替代瓶装水供应。</w:t>
      </w:r>
    </w:p>
    <w:p w14:paraId="3829A4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能源管理设备</w:t>
      </w:r>
    </w:p>
    <w:p w14:paraId="30AA58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应安装分类计量电表，对厨房动力、照明、空调系统分项监测。</w:t>
      </w:r>
    </w:p>
    <w:p w14:paraId="1213AA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宜部署能源管理平台，实现用能数据可视化与异常预警。</w:t>
      </w:r>
    </w:p>
    <w:p w14:paraId="17905B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6.7.3　蒸汽管道、热水管路应包裹保温材料，表面温升应≤5 ℃。</w:t>
      </w:r>
    </w:p>
    <w:p w14:paraId="1800DF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6.7.4　可应用余热回收装置，将厨具散热用于生活热水预热。</w:t>
      </w:r>
    </w:p>
    <w:p w14:paraId="7493C7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　水系统设备</w:t>
      </w:r>
    </w:p>
    <w:p w14:paraId="645F06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6.8.1　应配备管道式净水器保障加工用水安全，滤芯更换应有自动提示。</w:t>
      </w:r>
    </w:p>
    <w:p w14:paraId="2C860B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6.8.2　宜安装节水型高压花洒与变频恒压供水泵。</w:t>
      </w:r>
    </w:p>
    <w:p w14:paraId="2D83F0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6.8.3　冷却塔、制冰机等设备应配置循环水处理装置。</w:t>
      </w:r>
    </w:p>
    <w:p w14:paraId="399D90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6.8.4　可建设雨水收集系统，经处理后用于绿化与保洁。</w:t>
      </w:r>
    </w:p>
    <w:p w14:paraId="6CC7B2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　智慧化设备</w:t>
      </w:r>
    </w:p>
    <w:p w14:paraId="440B55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6.9.1　宜部署AI食材识别系统，自动记录入库重量与保质期。</w:t>
      </w:r>
    </w:p>
    <w:p w14:paraId="01E25B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6.9.2　可应用物联网监控设备，实时感知环境温湿度、烟雾浓度等参数。</w:t>
      </w:r>
    </w:p>
    <w:p w14:paraId="63DF60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6.9.3　就餐区宜配备智能餐盘结算系统，缩短排队时间。</w:t>
      </w:r>
    </w:p>
    <w:p w14:paraId="0B72E5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6.9.4　管理端应具备设备远程启停与故障诊断功能。</w:t>
      </w:r>
    </w:p>
    <w:p w14:paraId="51CDCB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　运维管理要求</w:t>
      </w:r>
    </w:p>
    <w:p w14:paraId="5EF2BE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6.10.1　应制定设备操作规程与维护计划，关键设备每日点检。</w:t>
      </w:r>
    </w:p>
    <w:p w14:paraId="218DE6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6.10.2　设备维护宜推行预防性维修模式，减少故障停机率。</w:t>
      </w:r>
    </w:p>
    <w:p w14:paraId="5BCDF9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6.10.3　老旧设备淘汰应进行环保处置，优先采购再制造产品。</w:t>
      </w:r>
    </w:p>
    <w:p w14:paraId="07F33B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6.10.4　操作人员应接受设备安全与节能操作专项培训。</w:t>
      </w:r>
    </w:p>
    <w:p w14:paraId="1934F3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原料管理</w:t>
      </w:r>
    </w:p>
    <w:p w14:paraId="1F79A2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采购控制</w:t>
      </w:r>
    </w:p>
    <w:p w14:paraId="184943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应建立合格供应商评价制度，审核其食品安全资质、环境管理体系及社会责任履行情况。</w:t>
      </w:r>
    </w:p>
    <w:p w14:paraId="4DA2F9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采购计划应根据就餐人数科学制定，减少库存积压导致的损耗风险。</w:t>
      </w:r>
    </w:p>
    <w:p w14:paraId="0045C4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应优先采购绿色食品、有机产品认证食材及地理标志保护产品。</w:t>
      </w:r>
    </w:p>
    <w:p w14:paraId="0F910A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7.1.4　畜禽肉类原料宜选择具有动物检疫合格证明及可追溯标识的产品。</w:t>
      </w:r>
    </w:p>
    <w:p w14:paraId="4A5403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7.1.5　可推行集中采购或农餐对接模式，缩短供应链环节。</w:t>
      </w:r>
    </w:p>
    <w:p w14:paraId="14085D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验收要求</w:t>
      </w:r>
    </w:p>
    <w:p w14:paraId="1FF55E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应设置独立验收区，配备计量工具与快速检测设备。</w:t>
      </w:r>
    </w:p>
    <w:p w14:paraId="234801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验收人员应核查原料包装完整性、保质期及温度合规性。</w:t>
      </w:r>
    </w:p>
    <w:p w14:paraId="1C6C27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蔬菜水果类宜进行农残抽样检测，肉类应查验兽医卫生验讫印章。</w:t>
      </w:r>
    </w:p>
    <w:p w14:paraId="7C2A2B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7.2.4　对不符合绿色标准的原料应予以拒收并记录溯源信息。</w:t>
      </w:r>
    </w:p>
    <w:p w14:paraId="78C712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仓储管理</w:t>
      </w:r>
    </w:p>
    <w:p w14:paraId="082DBC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应实行分区分类储存，原料离地离墙存放，标识卡注明入库日期与保质期。</w:t>
      </w:r>
    </w:p>
    <w:p w14:paraId="5DAFFE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冷藏库温度应维持0 ℃～4 ℃，冷冻库温度应≤－18 ℃，湿度宜控制在80%～90%。</w:t>
      </w:r>
    </w:p>
    <w:p w14:paraId="43C077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粮油调味品应存放于阴凉干燥处，配置防潮防虫设施。</w:t>
      </w:r>
    </w:p>
    <w:p w14:paraId="49A838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7.3.4　宜应用先进先出库存管理系统，定期盘点避免过期浪费。</w:t>
      </w:r>
    </w:p>
    <w:p w14:paraId="5587F5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食材预处理</w:t>
      </w:r>
    </w:p>
    <w:p w14:paraId="5BDA3B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蔬菜清洗应使用流动清水，宜采用臭氧消毒替代化学消毒剂。</w:t>
      </w:r>
    </w:p>
    <w:p w14:paraId="5E2798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解冻过程应在专用区域进行，不应在室温长时间放置，宜采用冷藏解冻法。</w:t>
      </w:r>
    </w:p>
    <w:p w14:paraId="3016F0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肉类分割应使用专用工具设备，避免交叉污染。</w:t>
      </w:r>
    </w:p>
    <w:p w14:paraId="7B16C3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7.4.4　下脚料应分类收集，可食部分宜用于高汤熬制或员工餐。</w:t>
      </w:r>
    </w:p>
    <w:p w14:paraId="335FE8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包装材料控制</w:t>
      </w:r>
    </w:p>
    <w:p w14:paraId="0173C5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食品接触包装应具有生产许可证，符合GB 4806.1有关要求。</w:t>
      </w:r>
    </w:p>
    <w:p w14:paraId="51646B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宜选用可降解环保材料替代塑料包装，减少一次性用品使用。</w:t>
      </w:r>
    </w:p>
    <w:p w14:paraId="14702E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外包装废弃物应统一回收，交由合规再生资源企业处理。</w:t>
      </w:r>
    </w:p>
    <w:p w14:paraId="2EC086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7.5.4　可推行散装食材直供模式，降低包装物使用总量。</w:t>
      </w:r>
    </w:p>
    <w:p w14:paraId="2AF4CB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绿色食材占比</w:t>
      </w:r>
    </w:p>
    <w:p w14:paraId="0C2BB4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应制定年度绿色食材采购比例提升目标，逐年优化结构。</w:t>
      </w:r>
    </w:p>
    <w:p w14:paraId="03C92D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米面油等主食材绿色认证覆盖率宜不低于30%。</w:t>
      </w:r>
    </w:p>
    <w:p w14:paraId="57E1CC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季节性本地食材采购量应占总量的40%以上，减少运输碳排放。</w:t>
      </w:r>
    </w:p>
    <w:p w14:paraId="0C6693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7.6.4　可建立绿色食材专供基地，保障稳定供应渠道。</w:t>
      </w:r>
    </w:p>
    <w:p w14:paraId="563218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追溯与记录</w:t>
      </w:r>
    </w:p>
    <w:p w14:paraId="5AD972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应建立电子化追溯系统，覆盖供应商信息、检验报告、出入库数据。</w:t>
      </w:r>
    </w:p>
    <w:p w14:paraId="62FCCA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关键原料应保存样品不少于48 h，以备质量核查。</w:t>
      </w:r>
    </w:p>
    <w:p w14:paraId="170216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7.7.3　食品添加剂使用应单独建档，精确记录投料量与用途。</w:t>
      </w:r>
    </w:p>
    <w:p w14:paraId="461F76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7.7.4　宜采用区块链技术增强数据不可篡改性。</w:t>
      </w:r>
    </w:p>
    <w:p w14:paraId="401B5C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　减损措施</w:t>
      </w:r>
    </w:p>
    <w:p w14:paraId="74AEB5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7.8.1　应分析每日剩余食材数据，动态调整采购与加工计划。</w:t>
      </w:r>
    </w:p>
    <w:p w14:paraId="6D6592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7.8.2　宜开发边角料创新菜品，例如果皮制作蜜饯、鱼骨熬制汤底。</w:t>
      </w:r>
    </w:p>
    <w:p w14:paraId="6CA23D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7.8.3　可设置弹性菜单机制，根据库存情况调整当日供应菜品。</w:t>
      </w:r>
    </w:p>
    <w:p w14:paraId="271738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7.8.4　临期未变质食材可捐赠给社会福利机构。</w:t>
      </w:r>
    </w:p>
    <w:p w14:paraId="40ECB0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　人员培训</w:t>
      </w:r>
    </w:p>
    <w:p w14:paraId="533741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7.9.1　采购、验收、仓储人员应通过食品安全与绿色管理专项考核。</w:t>
      </w:r>
    </w:p>
    <w:p w14:paraId="09C637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7.9.2　每年宜组织供应商考察活动，增强绿色供应链认知。</w:t>
      </w:r>
    </w:p>
    <w:p w14:paraId="143CDB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7.9.3　应定期开展反浪费技能培训，提升食材利用率。</w:t>
      </w:r>
    </w:p>
    <w:p w14:paraId="7DCDFA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　监督改进</w:t>
      </w:r>
    </w:p>
    <w:p w14:paraId="62016E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7.10.1　应每月统计食材损耗率、绿色采购占比等核心指标。</w:t>
      </w:r>
    </w:p>
    <w:p w14:paraId="6BE992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7.10.2　管理评审应识别原料管理薄弱环节，制定纠正预防措施。</w:t>
      </w:r>
    </w:p>
    <w:p w14:paraId="7A9B3F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7.10.3　可引入第三方审计评估供应链可持续性。</w:t>
      </w:r>
    </w:p>
    <w:p w14:paraId="30E833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加工制作</w:t>
      </w:r>
    </w:p>
    <w:p w14:paraId="570CEE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通用原则</w:t>
      </w:r>
    </w:p>
    <w:p w14:paraId="2637A9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加工过程应符合食品安全与绿色节能双重目标。</w:t>
      </w:r>
    </w:p>
    <w:p w14:paraId="40651F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应实行生熟分离、荤素分区操作，避免交叉污染与串味。</w:t>
      </w:r>
    </w:p>
    <w:p w14:paraId="027CC3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操作人员应持健康证上岗，进入加工区前应更衣洗手消毒。</w:t>
      </w:r>
    </w:p>
    <w:p w14:paraId="0752D0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8.1.4　可建立标准化作业指导书，规范加工流程与能耗限额。</w:t>
      </w:r>
    </w:p>
    <w:p w14:paraId="0F1809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预处理要求</w:t>
      </w:r>
    </w:p>
    <w:p w14:paraId="282493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蔬菜水果应在专用清洗区处理，宜采用循环水喷淋清洗减少耗水量。</w:t>
      </w:r>
    </w:p>
    <w:p w14:paraId="1E47CE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解冻操作应在冷藏环境或流动冷水中进行，不应反复冻融。</w:t>
      </w:r>
    </w:p>
    <w:p w14:paraId="43D343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肉类分割应使用专用砧板刀具，不同色标对应不同原料类别。</w:t>
      </w:r>
    </w:p>
    <w:p w14:paraId="1ACB9A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　下脚料应及时分类收集，可食用部分宜用于配菜或汤料制作。</w:t>
      </w:r>
    </w:p>
    <w:p w14:paraId="0FE903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烹饪过程控制</w:t>
      </w:r>
    </w:p>
    <w:p w14:paraId="793FFF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应优先采用蒸、煮、炖等低能耗烹饪方式，减少煎炸菜品比例。</w:t>
      </w:r>
    </w:p>
    <w:p w14:paraId="273FC6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灶具火力应匹配锅具尺寸，火焰不应超出锅底边缘。</w:t>
      </w:r>
    </w:p>
    <w:p w14:paraId="54A050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烹饪时间应精准控制，宜使用计时器避免能源空耗。</w:t>
      </w:r>
    </w:p>
    <w:p w14:paraId="254D80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8.3.4　大型食堂可应用中央厨房配送预制菜，降低现场烹饪能耗。</w:t>
      </w:r>
    </w:p>
    <w:p w14:paraId="2950E1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节能降耗措施</w:t>
      </w:r>
    </w:p>
    <w:p w14:paraId="1EE3E0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蒸箱、烤箱等设备应满载运行，单次加工量宜达容积80%以上。</w:t>
      </w:r>
    </w:p>
    <w:p w14:paraId="273684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烹饪区余热宜回收用于热水制备或空间采暖。</w:t>
      </w:r>
    </w:p>
    <w:p w14:paraId="7179C9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煮沸后应及时调至小火，汤锅宜加盖减少热量散失。</w:t>
      </w:r>
    </w:p>
    <w:p w14:paraId="682A95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8.4.4　可安装智能控温系统，自动调节能源供应强度。</w:t>
      </w:r>
    </w:p>
    <w:p w14:paraId="44BE2B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添加剂与调味管理</w:t>
      </w:r>
    </w:p>
    <w:p w14:paraId="4E98AD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食品添加剂使用应符合GB 2760的要求，实行专人专柜管理。</w:t>
      </w:r>
    </w:p>
    <w:p w14:paraId="524B21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宜减少味精、合成色素等化学添加剂用量，提倡天然调味。</w:t>
      </w:r>
    </w:p>
    <w:p w14:paraId="27514E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食盐、食用油使用量应定量控制，配置专用计量工具。</w:t>
      </w:r>
    </w:p>
    <w:p w14:paraId="75394E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8.5.4　可开发低盐低油健康菜品并标注营养参数。</w:t>
      </w:r>
    </w:p>
    <w:p w14:paraId="327944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污染防控要求</w:t>
      </w:r>
    </w:p>
    <w:p w14:paraId="7148C3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油烟净化装置应在烹饪前开启，结束后延时关闭不少于5 min。</w:t>
      </w:r>
    </w:p>
    <w:p w14:paraId="0F93EC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8.6.2　污水排放前应经隔油池处理，油脂回收率宜达90%以上。</w:t>
      </w:r>
    </w:p>
    <w:p w14:paraId="38E49C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8.6.3　噪声控制应符合GB 12348要求，高噪设备宜加装消音罩。</w:t>
      </w:r>
    </w:p>
    <w:p w14:paraId="3553D4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8.6.4　化学清洁剂应单独存放，使用后器具需彻底冲洗。</w:t>
      </w:r>
    </w:p>
    <w:p w14:paraId="6BFBE2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　主食加工规范</w:t>
      </w:r>
    </w:p>
    <w:p w14:paraId="39275D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8.7.1　面食发酵宜采用恒温发酵箱，温度波动应≤±2 ℃。</w:t>
      </w:r>
    </w:p>
    <w:p w14:paraId="36380A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8.7.2　米饭蒸制可应用浸泡工艺，缩短加热时间10%～15%。</w:t>
      </w:r>
    </w:p>
    <w:p w14:paraId="1EF493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8.7.3　烘焙设备应配备废气收集装置，减少粉尘扩散。</w:t>
      </w:r>
    </w:p>
    <w:p w14:paraId="27C492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8.7.4　剩余主食宜加工成糕点或员工餐，避免直接废弃。</w:t>
      </w:r>
    </w:p>
    <w:p w14:paraId="3B37C6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8.8　冷荤与凉菜制作</w:t>
      </w:r>
    </w:p>
    <w:p w14:paraId="65C51A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8.8.1　应在专用凉菜间操作，室温应≤25 ℃并配置紫外线消毒灯。</w:t>
      </w:r>
    </w:p>
    <w:p w14:paraId="559DEE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8.8.2　刀具砧板使用前应酒精灼烧，熟食切割后2 h内食用。</w:t>
      </w:r>
    </w:p>
    <w:p w14:paraId="26C970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8.8.3　沙拉等生食蔬菜宜采用臭氧水灭菌处理。</w:t>
      </w:r>
    </w:p>
    <w:p w14:paraId="18E43C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8.8.4　不宜供应高风险生食海产品。</w:t>
      </w:r>
    </w:p>
    <w:p w14:paraId="06E3F2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8.9　智慧化控制</w:t>
      </w:r>
    </w:p>
    <w:p w14:paraId="71D4D5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8.9.1　宜部署物联网传感器，实时监测烹饪温度与能耗数据。</w:t>
      </w:r>
    </w:p>
    <w:p w14:paraId="0D0DF2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8.9.2　可应用AI配方系统，根据原料特性优化加工参数。</w:t>
      </w:r>
    </w:p>
    <w:p w14:paraId="6B1347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8.9.3　关键加工环节宜配置视频监控，支持过程回溯。</w:t>
      </w:r>
    </w:p>
    <w:p w14:paraId="5DB4B4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8.9.4　能耗超限时系统应自动报警并生成优化建议。</w:t>
      </w:r>
    </w:p>
    <w:p w14:paraId="787955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8.10　特殊工况管理</w:t>
      </w:r>
    </w:p>
    <w:p w14:paraId="61C426B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8.10.1　高峰时段应提前预制半成品，避免集中加工导致能效下降。</w:t>
      </w:r>
    </w:p>
    <w:p w14:paraId="3D0EE0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8.10.2　设备故障期间应启用应急方案，保障基础供餐需求。</w:t>
      </w:r>
    </w:p>
    <w:p w14:paraId="7EC47F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8.10.3　停电时冷藏食材转移应及时，温度超标食材应废弃。</w:t>
      </w:r>
    </w:p>
    <w:p w14:paraId="534FC9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　供餐服务</w:t>
      </w:r>
    </w:p>
    <w:p w14:paraId="36EF19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　服务环境</w:t>
      </w:r>
    </w:p>
    <w:p w14:paraId="0DB66C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　就餐区应设置垃圾分类回收装置，标识清晰且数量充足。</w:t>
      </w:r>
    </w:p>
    <w:p w14:paraId="2A7353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　室内空气质量应符合GB/T 18883要求，宜安装新风净化系统。</w:t>
      </w:r>
    </w:p>
    <w:p w14:paraId="256899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　餐桌椅宜选用环保再生材料，布局应保障通行顺畅与消防疏散。</w:t>
      </w:r>
    </w:p>
    <w:p w14:paraId="38CA00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9.1.4　可设置绿植景观墙或生态展示区，营造绿色就餐氛围。</w:t>
      </w:r>
    </w:p>
    <w:p w14:paraId="387030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　供餐前准备</w:t>
      </w:r>
    </w:p>
    <w:p w14:paraId="42F56F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　热食备餐时间应控制在烹饪结束后2 h内，放置于保温设备中。</w:t>
      </w:r>
    </w:p>
    <w:p w14:paraId="5CD238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　保温设备温度应维持热菜≥60 ℃、凉菜≤10 ℃，每小时记录温度。</w:t>
      </w:r>
    </w:p>
    <w:p w14:paraId="07BFE3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　餐具应经消毒柜杀菌后密闭存放，取用餐具应使用专用工具。</w:t>
      </w:r>
    </w:p>
    <w:p w14:paraId="677D7D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9.2.4　可应用智能备餐系统预测就餐人数，按需分批制备菜品。</w:t>
      </w:r>
    </w:p>
    <w:p w14:paraId="5437A4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　供餐方式</w:t>
      </w:r>
    </w:p>
    <w:p w14:paraId="75B17F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9.3.1　应提供小份菜、半份菜选项，并在菜单醒目位置标注。</w:t>
      </w:r>
    </w:p>
    <w:p w14:paraId="3586AA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9.3.2　自助餐台宜配备感应取餐设备，减少食物接触污染。</w:t>
      </w:r>
    </w:p>
    <w:p w14:paraId="0A4F86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9.3.3　套餐组合应包含荤素搭配，蔬菜占比宜≥50%。</w:t>
      </w:r>
    </w:p>
    <w:p w14:paraId="27FAA2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9.3.4　可推行线上预订系统，精准控制备餐总量。</w:t>
      </w:r>
    </w:p>
    <w:p w14:paraId="553FAF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　健康引导</w:t>
      </w:r>
    </w:p>
    <w:p w14:paraId="074EB7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9.4.1　菜单应标注主要原料及过敏原信息，高盐高油菜品应特殊提示。</w:t>
      </w:r>
    </w:p>
    <w:p w14:paraId="71D808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9.4.2　宜设置低脂低糖专窗，提供营养搭配建议卡。</w:t>
      </w:r>
    </w:p>
    <w:p w14:paraId="07D4C8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9.4.3　主食区应全谷物供应比例≥30%，并提供杂粮米饭选项。</w:t>
      </w:r>
    </w:p>
    <w:p w14:paraId="0918ED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9.4.4　可开展“光盘行动”积分奖励，引导适量取餐。</w:t>
      </w:r>
    </w:p>
    <w:p w14:paraId="1C6248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　餐具管理</w:t>
      </w:r>
    </w:p>
    <w:p w14:paraId="0191D8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9.5.1　应使用可循环消毒餐具，一次性餐具仅限外带服务。</w:t>
      </w:r>
    </w:p>
    <w:p w14:paraId="533C78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9.5.2　餐具回收区应分设残渣倾倒台与餐具传送带。</w:t>
      </w:r>
    </w:p>
    <w:p w14:paraId="51DA71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9.5.3　破损餐具应及时淘汰，避免割伤风险。</w:t>
      </w:r>
    </w:p>
    <w:p w14:paraId="444F47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9.5.4　可建立餐具循环次数记录制度，超限餐具转作其他用途。</w:t>
      </w:r>
    </w:p>
    <w:p w14:paraId="3065FC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　资源节约措施</w:t>
      </w:r>
    </w:p>
    <w:p w14:paraId="539432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9.6.1　应实行按量收费模式，剩餐超重部分可加收资源处理费。</w:t>
      </w:r>
    </w:p>
    <w:p w14:paraId="776D07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9.6.2　免费汤品、调味品应设置小容量取用器具。</w:t>
      </w:r>
    </w:p>
    <w:p w14:paraId="2CCBB2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9.6.3　宜推广数字化结算，减少纸质小票打印。</w:t>
      </w:r>
    </w:p>
    <w:p w14:paraId="1D8D31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9.6.4　可配置食物垃圾就地处理机，转化残渣为有机肥料。</w:t>
      </w:r>
    </w:p>
    <w:p w14:paraId="4CABF0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　特殊群体服务</w:t>
      </w:r>
    </w:p>
    <w:p w14:paraId="7B294F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9.7.1　应设置无障碍取餐通道及专用就餐位。</w:t>
      </w:r>
    </w:p>
    <w:p w14:paraId="7AD23B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9.7.2　宜提供糖尿病、高血压等慢性病定制餐食。</w:t>
      </w:r>
    </w:p>
    <w:p w14:paraId="6E4E8F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9.7.3　清真食品、素食专窗应独立加工并明确标识。</w:t>
      </w:r>
    </w:p>
    <w:p w14:paraId="56D1FD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9.7.4　可建立过敏源隔离供餐流程，避免交叉接触。</w:t>
      </w:r>
    </w:p>
    <w:p w14:paraId="50F118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9.8　应急管理</w:t>
      </w:r>
    </w:p>
    <w:p w14:paraId="4C3D00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9.8.1　突增就餐需求时应启动备份菜单，优先供应快捷菜品。</w:t>
      </w:r>
    </w:p>
    <w:p w14:paraId="5B3DD5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9.8.2　食物中毒等事件应立即停止供餐，封存样品配合调查。</w:t>
      </w:r>
    </w:p>
    <w:p w14:paraId="6E3D57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9.8.3　极端天气下宜延长供餐时段，避免集中就餐。</w:t>
      </w:r>
    </w:p>
    <w:p w14:paraId="424077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　智慧服务</w:t>
      </w:r>
    </w:p>
    <w:p w14:paraId="3E296F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9.9.1　宜部署智能餐盘系统，自动识别菜品实现无感支付。</w:t>
      </w:r>
    </w:p>
    <w:p w14:paraId="56B81B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9.9.2　可应用AI营养分析仪，扫描餐盘生成营养报告。</w:t>
      </w:r>
    </w:p>
    <w:p w14:paraId="700620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9.9.3　就餐高峰时段应通过电子屏实时显示排队情况。</w:t>
      </w:r>
    </w:p>
    <w:p w14:paraId="362643B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9.9.4　管理端应具备剩餐数据分析功能，优化菜品结构。</w:t>
      </w:r>
    </w:p>
    <w:p w14:paraId="750100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　餐后管理</w:t>
      </w:r>
    </w:p>
    <w:p w14:paraId="428978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9.10.1　未售出但完好的食物宜捐赠给食物银行或慈善机构。</w:t>
      </w:r>
    </w:p>
    <w:p w14:paraId="2EE8EB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9.10.2　餐厨垃圾应干湿分离，油脂交由特许经营企业回收。</w:t>
      </w:r>
    </w:p>
    <w:p w14:paraId="38942B3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9.10.3　每日应统计人均餐厨垃圾产生量，目标值宜≤120 g/人。</w:t>
      </w:r>
    </w:p>
    <w:p w14:paraId="274ACA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9.10.4　消毒后的餐台、地面应进行环保酵素清洁。</w:t>
      </w:r>
    </w:p>
    <w:p w14:paraId="7B4586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　服务质量控制</w:t>
      </w:r>
    </w:p>
    <w:p w14:paraId="353581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9.11.1　应每月开展就餐满意度调查，绿色服务占比权重≥30%。</w:t>
      </w:r>
    </w:p>
    <w:p w14:paraId="60A6F2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9.11.2　服务人员应接受反浪费劝导技巧与营养知识培训。</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9.11.3　宜建立供餐服务绿色星级评定制度，结果向社会公示。</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绿色食堂建设管理</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15698705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A4BlngQCAAANBAAADgAAAAAAAAABACAAAAAgAQAAZHJzL2Uy&#10;b0RvYy54bWxQSwUGAAAAAAYABgBZAQAAlgU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378A4"/>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31CCF"/>
    <w:rsid w:val="00650FED"/>
    <w:rsid w:val="00654216"/>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B4194"/>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29C021C"/>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8146</Words>
  <Characters>9324</Characters>
  <Lines>595</Lines>
  <Paragraphs>666</Paragraphs>
  <TotalTime>2</TotalTime>
  <ScaleCrop>false</ScaleCrop>
  <LinksUpToDate>false</LinksUpToDate>
  <CharactersWithSpaces>9696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2025-09-18T08:39:00Z</dcterms:created>
  <dc:creator>yao jiang</dc:creator>
  <cp:lastModifiedBy>Shimmer</cp:lastModifiedBy>
  <dcterms:modified xsi:type="dcterms:W3CDTF">2025-12-15T08:55:36Z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