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718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8ABE0FB">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4E2AD24">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03.100.01</w:t>
            </w:r>
            <w:r>
              <w:rPr>
                <w:rFonts w:ascii="黑体" w:hAnsi="黑体" w:eastAsia="黑体"/>
                <w:sz w:val="21"/>
                <w:szCs w:val="21"/>
              </w:rPr>
              <w:fldChar w:fldCharType="end"/>
            </w:r>
            <w:bookmarkEnd w:id="0"/>
          </w:p>
        </w:tc>
      </w:tr>
      <w:tr w14:paraId="2EC3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46795B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E1034B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Y 78</w:t>
            </w:r>
            <w:r>
              <w:rPr>
                <w:rFonts w:ascii="黑体" w:hAnsi="黑体" w:eastAsia="黑体"/>
                <w:sz w:val="21"/>
                <w:szCs w:val="21"/>
              </w:rPr>
              <w:fldChar w:fldCharType="end"/>
            </w:r>
            <w:bookmarkEnd w:id="1"/>
          </w:p>
        </w:tc>
      </w:tr>
    </w:tbl>
    <w:p w14:paraId="19ADB893">
      <w:pPr>
        <w:pStyle w:val="50"/>
        <w:framePr w:h="1196" w:hRule="exact" w:hSpace="181" w:vSpace="181" w:wrap="around" w:vAnchor="page" w:hAnchor="page" w:x="1288" w:y="1912"/>
        <w:pBdr>
          <w:top w:val="none" w:sz="0" w:space="0"/>
          <w:left w:val="none" w:sz="0" w:space="0"/>
          <w:bottom w:val="none" w:sz="0" w:space="0"/>
          <w:right w:val="none" w:sz="0" w:space="0"/>
        </w:pBdr>
        <w:rPr>
          <w:rFonts w:hint="eastAsia" w:ascii="黑体" w:hAnsi="黑体" w:eastAsia="黑体"/>
          <w:b/>
          <w:bCs w:val="0"/>
          <w:w w:val="100"/>
          <w:sz w:val="84"/>
          <w:szCs w:val="84"/>
        </w:rPr>
      </w:pPr>
      <w:r>
        <w:rPr>
          <w:rFonts w:hint="eastAsia" w:ascii="黑体" w:eastAsia="黑体"/>
          <w:b/>
          <w:bCs w:val="0"/>
          <w:w w:val="100"/>
          <w:sz w:val="84"/>
          <w:szCs w:val="84"/>
        </w:rPr>
        <w:t>团体</w:t>
      </w:r>
      <w:r>
        <w:rPr>
          <w:rFonts w:hint="eastAsia" w:ascii="黑体" w:hAnsi="黑体" w:eastAsia="黑体"/>
          <w:b/>
          <w:bCs w:val="0"/>
          <w:w w:val="100"/>
          <w:sz w:val="84"/>
          <w:szCs w:val="84"/>
        </w:rPr>
        <w:t>标准</w:t>
      </w:r>
    </w:p>
    <w:p w14:paraId="44FE1D95">
      <w:pPr>
        <w:pStyle w:val="195"/>
      </w:pPr>
      <w:r>
        <w:t>T/</w:t>
      </w:r>
      <w:bookmarkStart w:id="2" w:name="文字1"/>
      <w:r>
        <w:rPr>
          <w:rFonts w:ascii="黑体" w:hAnsi="Times New Roman" w:eastAsia="黑体" w:cs="Times New Roman"/>
          <w:bCs/>
          <w:sz w:val="28"/>
          <w:szCs w:val="28"/>
          <w:lang w:val="en-US" w:eastAsia="zh-CN" w:bidi="ar-SA"/>
        </w:rPr>
        <w:fldChar w:fldCharType="begin">
          <w:ffData>
            <w:name w:val="文字1"/>
            <w:enabled/>
            <w:calcOnExit w:val="0"/>
            <w:textInput>
              <w:default w:val="CWDPA"/>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CWDPA</w:t>
      </w:r>
      <w:r>
        <w:rPr>
          <w:rFonts w:ascii="黑体" w:hAnsi="Times New Roman" w:eastAsia="黑体" w:cs="Times New Roman"/>
          <w:bCs/>
          <w:sz w:val="28"/>
          <w:szCs w:val="28"/>
          <w:lang w:val="en-US" w:eastAsia="zh-CN" w:bidi="ar-SA"/>
        </w:rPr>
        <w:fldChar w:fldCharType="end"/>
      </w:r>
      <w:bookmarkEnd w:id="2"/>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rPr>
          <w:rFonts w:hint="eastAsia"/>
        </w:rPr>
        <w:t>2025</w:t>
      </w:r>
      <w:r>
        <w:fldChar w:fldCharType="end"/>
      </w:r>
      <w:bookmarkEnd w:id="4"/>
    </w:p>
    <w:p w14:paraId="63C1A7C1">
      <w:pPr>
        <w:pStyle w:val="196"/>
        <w:rPr>
          <w:rFonts w:hint="eastAsia"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174D9406">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63455CA">
      <w:pPr>
        <w:pStyle w:val="50"/>
        <w:framePr w:w="9639" w:h="6976" w:hRule="exact" w:hSpace="0" w:vSpace="0" w:wrap="around" w:hAnchor="page" w:y="6408"/>
        <w:jc w:val="center"/>
        <w:rPr>
          <w:rFonts w:hint="eastAsia" w:ascii="黑体" w:hAnsi="黑体" w:eastAsia="黑体"/>
          <w:b w:val="0"/>
          <w:bCs w:val="0"/>
          <w:w w:val="100"/>
        </w:rPr>
      </w:pPr>
    </w:p>
    <w:p w14:paraId="70CBF548">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鞋类企业ESG披露指南</w:t>
      </w:r>
      <w:r>
        <w:fldChar w:fldCharType="end"/>
      </w:r>
      <w:bookmarkEnd w:id="6"/>
    </w:p>
    <w:p w14:paraId="5B8DAF42">
      <w:pPr>
        <w:framePr w:w="9639" w:h="6974" w:hRule="exact" w:wrap="around" w:vAnchor="page" w:hAnchor="page" w:x="1419" w:y="6408" w:anchorLock="1"/>
        <w:ind w:left="-1418"/>
      </w:pPr>
    </w:p>
    <w:p w14:paraId="65896A97">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fldChar w:fldCharType="separate"/>
      </w:r>
      <w:r>
        <w:rPr>
          <w:rFonts w:hint="eastAsia" w:eastAsia="黑体"/>
          <w:szCs w:val="28"/>
        </w:rPr>
        <w:t>ESG disclosure guidelines for footwear companies</w:t>
      </w:r>
      <w:r>
        <w:rPr>
          <w:rFonts w:eastAsia="黑体"/>
          <w:szCs w:val="28"/>
        </w:rPr>
        <w:fldChar w:fldCharType="end"/>
      </w:r>
      <w:bookmarkEnd w:id="7"/>
    </w:p>
    <w:p w14:paraId="018DDBA1">
      <w:pPr>
        <w:pStyle w:val="125"/>
        <w:framePr w:w="9639" w:h="6974" w:hRule="exact" w:wrap="around" w:vAnchor="page" w:hAnchor="page" w:x="1419" w:y="6408" w:anchorLock="1"/>
        <w:pBdr>
          <w:top w:val="none" w:sz="0" w:space="0"/>
          <w:left w:val="none" w:sz="0" w:space="0"/>
          <w:bottom w:val="none" w:sz="0" w:space="0"/>
          <w:right w:val="none" w:sz="0" w:space="0"/>
        </w:pBdr>
        <w:spacing w:before="180" w:line="240" w:lineRule="atLeast"/>
        <w:textAlignment w:val="bottom"/>
        <w:rPr>
          <w:rFonts w:hint="eastAsia"/>
          <w:lang w:eastAsia="zh-CN"/>
        </w:rPr>
      </w:pPr>
      <w:r>
        <w:rPr>
          <w:rFonts w:hint="eastAsia"/>
          <w:lang w:eastAsia="zh-CN"/>
        </w:rPr>
        <w:tab/>
      </w:r>
    </w:p>
    <w:p w14:paraId="06EACDC4">
      <w:pPr>
        <w:pStyle w:val="125"/>
        <w:framePr w:w="9639" w:h="6974" w:hRule="exact" w:wrap="around" w:vAnchor="page" w:hAnchor="page" w:x="1419" w:y="6408" w:anchorLock="1"/>
        <w:pBdr>
          <w:top w:val="none" w:sz="0" w:space="0"/>
          <w:left w:val="none" w:sz="0" w:space="0"/>
          <w:bottom w:val="none" w:sz="0" w:space="0"/>
          <w:right w:val="none" w:sz="0" w:space="0"/>
        </w:pBdr>
        <w:spacing w:before="180" w:line="240" w:lineRule="atLeast"/>
        <w:textAlignment w:val="bottom"/>
        <w:rPr>
          <w:rFonts w:hint="eastAsia"/>
          <w:lang w:eastAsia="zh-CN"/>
        </w:rPr>
      </w:pPr>
    </w:p>
    <w:p w14:paraId="09882886">
      <w:pPr>
        <w:pStyle w:val="125"/>
        <w:framePr w:w="9639" w:h="6974" w:hRule="exact" w:wrap="around" w:vAnchor="page" w:hAnchor="page" w:x="1419" w:y="6408" w:anchorLock="1"/>
        <w:pBdr>
          <w:top w:val="none" w:sz="0" w:space="0"/>
          <w:left w:val="none" w:sz="0" w:space="0"/>
          <w:bottom w:val="none" w:sz="0" w:space="0"/>
          <w:right w:val="none" w:sz="0" w:space="0"/>
        </w:pBdr>
        <w:spacing w:before="180" w:line="240" w:lineRule="atLeast"/>
        <w:textAlignment w:val="bottom"/>
        <w:rPr>
          <w:sz w:val="44"/>
          <w:szCs w:val="44"/>
        </w:rPr>
      </w:pPr>
      <w:r>
        <w:rPr>
          <w:rFonts w:hint="eastAsia" w:ascii="黑体" w:hAnsi="黑体" w:eastAsia="黑体" w:cs="黑体"/>
          <w:sz w:val="44"/>
          <w:szCs w:val="44"/>
          <w:lang w:val="en-US" w:eastAsia="zh-CN"/>
        </w:rPr>
        <w:t>（征求意见稿）</w:t>
      </w:r>
    </w:p>
    <w:p w14:paraId="06AB8ED2">
      <w:pPr>
        <w:pStyle w:val="125"/>
        <w:framePr w:w="9639" w:h="6974" w:hRule="exact" w:wrap="around" w:vAnchor="page" w:hAnchor="page" w:x="1419" w:y="6408" w:anchorLock="1"/>
        <w:pBdr>
          <w:top w:val="none" w:sz="0" w:space="0"/>
          <w:left w:val="none" w:sz="0" w:space="0"/>
          <w:bottom w:val="none" w:sz="0" w:space="0"/>
          <w:right w:val="none" w:sz="0" w:space="0"/>
        </w:pBdr>
        <w:spacing w:before="180" w:line="240" w:lineRule="atLeast"/>
        <w:jc w:val="both"/>
        <w:textAlignment w:val="bottom"/>
        <w:rPr>
          <w:sz w:val="44"/>
          <w:szCs w:val="44"/>
        </w:rPr>
      </w:pPr>
    </w:p>
    <w:p w14:paraId="694093D8">
      <w:pPr>
        <w:pStyle w:val="125"/>
        <w:framePr w:w="9639" w:h="6974" w:hRule="exact" w:wrap="around" w:vAnchor="page" w:hAnchor="page" w:x="1419" w:y="6408" w:anchorLock="1"/>
        <w:textAlignment w:val="bottom"/>
        <w:rPr>
          <w:rFonts w:eastAsia="黑体"/>
          <w:szCs w:val="28"/>
        </w:rPr>
      </w:pPr>
    </w:p>
    <w:p w14:paraId="6FCDDD6E">
      <w:pPr>
        <w:pStyle w:val="125"/>
        <w:framePr w:w="9639" w:h="6974" w:hRule="exact" w:wrap="around" w:vAnchor="page" w:hAnchor="page" w:x="1419" w:y="6408" w:anchorLock="1"/>
        <w:spacing w:before="440" w:after="160"/>
        <w:textAlignment w:val="bottom"/>
        <w:rPr>
          <w:sz w:val="24"/>
          <w:szCs w:val="28"/>
        </w:rPr>
      </w:pPr>
    </w:p>
    <w:p w14:paraId="47B4C743">
      <w:pPr>
        <w:pStyle w:val="125"/>
        <w:framePr w:w="9639" w:h="6974" w:hRule="exact" w:wrap="around" w:vAnchor="page" w:hAnchor="page" w:x="1419" w:y="6408" w:anchorLock="1"/>
        <w:spacing w:before="180" w:line="240" w:lineRule="atLeast"/>
        <w:textAlignment w:val="bottom"/>
        <w:rPr>
          <w:sz w:val="21"/>
          <w:szCs w:val="28"/>
        </w:rPr>
      </w:pPr>
    </w:p>
    <w:p w14:paraId="7D4D2A61">
      <w:pPr>
        <w:pStyle w:val="125"/>
        <w:framePr w:w="9639" w:h="6974" w:hRule="exact" w:wrap="around" w:vAnchor="page" w:hAnchor="page" w:x="1419" w:y="6408" w:anchorLock="1"/>
        <w:spacing w:before="720" w:beforeLines="300" w:after="72" w:afterLines="30" w:line="240" w:lineRule="auto"/>
        <w:jc w:val="both"/>
        <w:textAlignment w:val="bottom"/>
        <w:rPr>
          <w:b/>
          <w:sz w:val="21"/>
          <w:szCs w:val="28"/>
        </w:rPr>
      </w:pPr>
    </w:p>
    <w:p w14:paraId="145FD1AA">
      <w:pPr>
        <w:pStyle w:val="193"/>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3AFB1524">
      <w:pPr>
        <w:pStyle w:val="194"/>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4D66CA43">
      <w:pPr>
        <w:pStyle w:val="151"/>
        <w:framePr w:h="584" w:hRule="exact" w:hSpace="181" w:vSpace="181" w:wrap="around" w:y="14800"/>
        <w:rPr>
          <w:rFonts w:hint="eastAsia" w:hAnsi="黑体"/>
        </w:rPr>
      </w:pPr>
      <w:r>
        <w:rPr>
          <w:rFonts w:hint="eastAsia" w:ascii="隶属" w:hAnsi="隶属" w:eastAsia="隶属" w:cs="隶属"/>
          <w:b/>
          <w:bCs/>
          <w:w w:val="100"/>
          <w:sz w:val="48"/>
          <w:szCs w:val="48"/>
        </w:rPr>
        <w:t>中国西部开发促进会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B6A516A">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26A61A8">
      <w:pPr>
        <w:pStyle w:val="91"/>
        <w:spacing w:after="360"/>
        <w:rPr>
          <w:rFonts w:ascii="Times New Roman" w:hAnsi="Times New Roman"/>
        </w:rPr>
      </w:pPr>
      <w:bookmarkStart w:id="14" w:name="BookMark1"/>
      <w:bookmarkStart w:id="15" w:name="_Toc208322774"/>
      <w:bookmarkStart w:id="16" w:name="_Toc210050361"/>
      <w:r>
        <w:rPr>
          <w:rFonts w:ascii="Times New Roman" w:hAnsi="Times New Roman"/>
          <w:spacing w:val="320"/>
        </w:rPr>
        <w:t>目</w:t>
      </w:r>
      <w:r>
        <w:rPr>
          <w:rFonts w:ascii="Times New Roman" w:hAnsi="Times New Roman"/>
        </w:rPr>
        <w:t>次</w:t>
      </w:r>
    </w:p>
    <w:p w14:paraId="6612D6D2">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"_Toc210050457"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_Toc210050457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7BC8227B">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"_Toc210050458"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_Toc210050458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7DFD3F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"_Toc210050459"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_Toc210050459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0D3EB1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"_Toc210050460"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_Toc210050460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CEDF5C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"_Toc210050461" </w:instrText>
      </w:r>
      <w:r>
        <w:fldChar w:fldCharType="separate"/>
      </w:r>
      <w:r>
        <w:rPr>
          <w:rStyle w:val="32"/>
          <w:rFonts w:ascii="Times New Roman"/>
        </w:rPr>
        <w:t>4  披露原则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_Toc210050461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FFB481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"_Toc210050462" </w:instrText>
      </w:r>
      <w:r>
        <w:fldChar w:fldCharType="separate"/>
      </w:r>
      <w:r>
        <w:rPr>
          <w:rStyle w:val="32"/>
          <w:rFonts w:ascii="Times New Roman"/>
        </w:rPr>
        <w:t>5  披露指标体系</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_Toc210050462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06093795">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"_Toc210050463" </w:instrText>
      </w:r>
      <w:r>
        <w:fldChar w:fldCharType="separate"/>
      </w:r>
      <w:r>
        <w:rPr>
          <w:rStyle w:val="32"/>
          <w:rFonts w:ascii="Times New Roman"/>
        </w:rPr>
        <w:t>6  披露要求与实施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_Toc210050463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2AA5FC7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"_Toc210050464" </w:instrText>
      </w:r>
      <w:r>
        <w:fldChar w:fldCharType="separate"/>
      </w:r>
      <w:r>
        <w:rPr>
          <w:rStyle w:val="32"/>
          <w:rFonts w:ascii="Times New Roman"/>
        </w:rPr>
        <w:t>7  信息核验与报告应用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_Toc210050464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CD3109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"_Toc210050465" </w:instrText>
      </w:r>
      <w:r>
        <w:fldChar w:fldCharType="separate"/>
      </w:r>
      <w:r>
        <w:rPr>
          <w:rStyle w:val="32"/>
          <w:rFonts w:ascii="Times New Roman"/>
        </w:rPr>
        <w:t>8  责任与监督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_Toc210050465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5DBA9C9F">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14"/>
    <w:p w14:paraId="474EFAB7">
      <w:pPr>
        <w:pStyle w:val="89"/>
        <w:spacing w:before="900" w:after="360"/>
        <w:rPr>
          <w:rFonts w:ascii="Times New Roman"/>
        </w:rPr>
      </w:pPr>
      <w:bookmarkStart w:id="17" w:name="_Toc210050457"/>
      <w:bookmarkStart w:id="18" w:name="BookMark2"/>
      <w:r>
        <w:rPr>
          <w:rFonts w:ascii="Times New Roman"/>
          <w:spacing w:val="320"/>
        </w:rPr>
        <w:t>前</w:t>
      </w:r>
      <w:r>
        <w:rPr>
          <w:rFonts w:ascii="Times New Roman"/>
        </w:rPr>
        <w:t>言</w:t>
      </w:r>
      <w:bookmarkEnd w:id="15"/>
      <w:bookmarkEnd w:id="16"/>
      <w:bookmarkEnd w:id="17"/>
    </w:p>
    <w:p w14:paraId="4047DE78">
      <w:pPr>
        <w:pStyle w:val="56"/>
        <w:ind w:firstLine="420"/>
        <w:rPr>
          <w:rFonts w:ascii="Times New Roman"/>
        </w:rPr>
      </w:pPr>
      <w:r>
        <w:rPr>
          <w:rFonts w:ascii="Times New Roman"/>
        </w:rPr>
        <w:t>本文件按照GB/T 1.1—2020《标准化工作导则  第1部分：标准化文件的结构和起草规则》的规定起草。</w:t>
      </w:r>
    </w:p>
    <w:p w14:paraId="17899C33">
      <w:pPr>
        <w:pStyle w:val="56"/>
        <w:ind w:firstLine="420"/>
        <w:rPr>
          <w:rFonts w:ascii="Times New Roman"/>
        </w:rPr>
      </w:pPr>
      <w:r>
        <w:rPr>
          <w:rFonts w:ascii="Times New Roman"/>
        </w:rPr>
        <w:t>请注意本文件的某些内容可能涉及专利。本文件的发布机构不承担识别专利的责任。</w:t>
      </w:r>
    </w:p>
    <w:p w14:paraId="707E6C17">
      <w:pPr>
        <w:pStyle w:val="56"/>
        <w:ind w:firstLine="420"/>
        <w:rPr>
          <w:rFonts w:ascii="Times New Roman"/>
        </w:rPr>
      </w:pPr>
      <w:r>
        <w:rPr>
          <w:rFonts w:ascii="Times New Roman"/>
        </w:rPr>
        <w:t>本文件由</w:t>
      </w:r>
      <w:r>
        <w:rPr>
          <w:rFonts w:hint="eastAsia" w:ascii="Times New Roman"/>
        </w:rPr>
        <w:t>意尔康股份有限公司</w:t>
      </w:r>
      <w:r>
        <w:rPr>
          <w:rFonts w:ascii="Times New Roman"/>
        </w:rPr>
        <w:t>提出。</w:t>
      </w:r>
    </w:p>
    <w:p w14:paraId="1AE479B5">
      <w:pPr>
        <w:pStyle w:val="56"/>
        <w:ind w:firstLine="420"/>
        <w:rPr>
          <w:rFonts w:ascii="Times New Roman"/>
        </w:rPr>
      </w:pPr>
      <w:r>
        <w:rPr>
          <w:rFonts w:ascii="Times New Roman"/>
        </w:rPr>
        <w:t>本文件由</w:t>
      </w:r>
      <w:r>
        <w:rPr>
          <w:rFonts w:hint="eastAsia"/>
        </w:rPr>
        <w:t>中国西部开发促进会</w:t>
      </w:r>
      <w:r>
        <w:rPr>
          <w:rFonts w:ascii="Times New Roman"/>
        </w:rPr>
        <w:t>归口。</w:t>
      </w:r>
    </w:p>
    <w:p w14:paraId="735AF3D2">
      <w:pPr>
        <w:pStyle w:val="56"/>
        <w:ind w:firstLine="420"/>
        <w:rPr>
          <w:rFonts w:hint="eastAsia" w:ascii="Times New Roman" w:eastAsia="宋体"/>
          <w:lang w:eastAsia="zh-CN"/>
        </w:rPr>
      </w:pPr>
      <w:r>
        <w:rPr>
          <w:rFonts w:ascii="Times New Roman"/>
        </w:rPr>
        <w:t>本文件起草单位：</w:t>
      </w:r>
      <w:r>
        <w:rPr>
          <w:rFonts w:hint="eastAsia" w:ascii="Times New Roman"/>
        </w:rPr>
        <w:t>意尔康股份有限公司</w:t>
      </w:r>
      <w:r>
        <w:rPr>
          <w:rFonts w:hint="eastAsia" w:ascii="Times New Roman"/>
          <w:lang w:eastAsia="zh-CN"/>
        </w:rPr>
        <w:t>。</w:t>
      </w:r>
      <w:bookmarkStart w:id="69" w:name="_GoBack"/>
      <w:bookmarkEnd w:id="69"/>
    </w:p>
    <w:p w14:paraId="6222ADE5">
      <w:pPr>
        <w:pStyle w:val="56"/>
        <w:ind w:firstLine="420"/>
        <w:rPr>
          <w:rFonts w:ascii="Times New Roman"/>
        </w:rPr>
      </w:pPr>
      <w:r>
        <w:rPr>
          <w:rFonts w:ascii="Times New Roman"/>
        </w:rPr>
        <w:t>本文件主要起草人：</w:t>
      </w:r>
    </w:p>
    <w:p w14:paraId="4097745C">
      <w:pPr>
        <w:pStyle w:val="56"/>
        <w:ind w:firstLine="420"/>
        <w:rPr>
          <w:rFonts w:ascii="Times New Roman"/>
        </w:rPr>
      </w:pPr>
    </w:p>
    <w:p w14:paraId="35AC3EF0">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18"/>
    <w:p w14:paraId="38C250FC">
      <w:pPr>
        <w:spacing w:line="20" w:lineRule="exact"/>
        <w:jc w:val="center"/>
        <w:rPr>
          <w:rFonts w:ascii="Times New Roman" w:hAnsi="Times New Roman" w:eastAsia="黑体"/>
          <w:sz w:val="32"/>
          <w:szCs w:val="32"/>
        </w:rPr>
      </w:pPr>
      <w:bookmarkStart w:id="19" w:name="BookMark4"/>
    </w:p>
    <w:p w14:paraId="11A9A898">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4267C02BAC6C4113A34AC12CE4594AB0"/>
        </w:placeholder>
      </w:sdtPr>
      <w:sdtEndPr>
        <w:rPr>
          <w:rFonts w:ascii="Times New Roman" w:hAnsi="Times New Roman"/>
        </w:rPr>
      </w:sdtEndPr>
      <w:sdtContent>
        <w:p w14:paraId="34B588EA">
          <w:pPr>
            <w:pStyle w:val="177"/>
            <w:spacing w:before="240" w:beforeLines="100" w:after="528" w:afterLines="220"/>
            <w:rPr>
              <w:rFonts w:ascii="Times New Roman" w:hAnsi="Times New Roman"/>
            </w:rPr>
          </w:pPr>
          <w:bookmarkStart w:id="20" w:name="NEW_STAND_NAME"/>
          <w:r>
            <w:rPr>
              <w:rFonts w:ascii="Times New Roman" w:hAnsi="Times New Roman"/>
            </w:rPr>
            <w:t>鞋类企业ESG披露指南</w:t>
          </w:r>
        </w:p>
      </w:sdtContent>
    </w:sdt>
    <w:bookmarkEnd w:id="20"/>
    <w:p w14:paraId="33524D9A">
      <w:pPr>
        <w:pStyle w:val="104"/>
        <w:spacing w:before="240" w:after="240"/>
        <w:rPr>
          <w:rFonts w:ascii="Times New Roman"/>
        </w:rPr>
      </w:pPr>
      <w:bookmarkStart w:id="21" w:name="_Toc26648465"/>
      <w:bookmarkStart w:id="22" w:name="_Toc17233333"/>
      <w:bookmarkStart w:id="23" w:name="_Toc24884218"/>
      <w:bookmarkStart w:id="24" w:name="_Toc97192964"/>
      <w:bookmarkStart w:id="25" w:name="_Toc26986530"/>
      <w:bookmarkStart w:id="26" w:name="_Toc210050362"/>
      <w:bookmarkStart w:id="27" w:name="_Toc24884211"/>
      <w:bookmarkStart w:id="28" w:name="_Toc26986771"/>
      <w:bookmarkStart w:id="29" w:name="_Toc17233325"/>
      <w:bookmarkStart w:id="30" w:name="_Toc26718930"/>
      <w:bookmarkStart w:id="31" w:name="_Toc210050458"/>
      <w:bookmarkStart w:id="32" w:name="_Toc208322775"/>
      <w:r>
        <w:rPr>
          <w:rFonts w:ascii="Times New Roman"/>
        </w:rPr>
        <w:t>范围</w:t>
      </w:r>
      <w:bookmarkEnd w:id="21"/>
      <w:bookmarkEnd w:id="22"/>
      <w:bookmarkEnd w:id="23"/>
      <w:bookmarkEnd w:id="24"/>
      <w:bookmarkEnd w:id="25"/>
      <w:bookmarkEnd w:id="26"/>
      <w:bookmarkEnd w:id="27"/>
      <w:bookmarkEnd w:id="28"/>
      <w:bookmarkEnd w:id="29"/>
      <w:bookmarkEnd w:id="30"/>
      <w:bookmarkEnd w:id="31"/>
      <w:bookmarkEnd w:id="32"/>
    </w:p>
    <w:p w14:paraId="6240D981">
      <w:pPr>
        <w:pStyle w:val="56"/>
        <w:ind w:firstLine="420"/>
        <w:rPr>
          <w:rFonts w:ascii="Times New Roman"/>
        </w:rPr>
      </w:pPr>
      <w:bookmarkStart w:id="33" w:name="_Toc17233334"/>
      <w:bookmarkStart w:id="34" w:name="_Toc24884212"/>
      <w:bookmarkStart w:id="35" w:name="_Toc17233326"/>
      <w:bookmarkStart w:id="36" w:name="_Toc24884219"/>
      <w:bookmarkStart w:id="37" w:name="_Toc26648466"/>
      <w:r>
        <w:rPr>
          <w:rFonts w:ascii="Times New Roman"/>
        </w:rPr>
        <w:t>本文件规定了鞋类企业ESG披露的术语和定义、披露原则、披露指标体系、披露要求与实施、信息核验与报告应用、责任与监督。</w:t>
      </w:r>
    </w:p>
    <w:p w14:paraId="6CE50769">
      <w:pPr>
        <w:pStyle w:val="56"/>
        <w:ind w:firstLine="420"/>
        <w:rPr>
          <w:rFonts w:ascii="Times New Roman"/>
        </w:rPr>
      </w:pPr>
      <w:r>
        <w:rPr>
          <w:rFonts w:ascii="Times New Roman"/>
        </w:rPr>
        <w:t>本文件适用于鞋类企业ESG披露。</w:t>
      </w:r>
    </w:p>
    <w:p w14:paraId="4E47D9E8">
      <w:pPr>
        <w:pStyle w:val="104"/>
        <w:spacing w:before="240" w:after="240"/>
        <w:rPr>
          <w:rFonts w:ascii="Times New Roman"/>
        </w:rPr>
      </w:pPr>
      <w:bookmarkStart w:id="38" w:name="_Toc97192965"/>
      <w:bookmarkStart w:id="39" w:name="_Toc26986531"/>
      <w:bookmarkStart w:id="40" w:name="_Toc208322776"/>
      <w:bookmarkStart w:id="41" w:name="_Toc26718931"/>
      <w:bookmarkStart w:id="42" w:name="_Toc210050459"/>
      <w:bookmarkStart w:id="43" w:name="_Toc26986772"/>
      <w:bookmarkStart w:id="44" w:name="_Toc210050363"/>
      <w:r>
        <w:rPr>
          <w:rFonts w:ascii="Times New Roman"/>
        </w:rPr>
        <w:t>规范性引用文件</w:t>
      </w:r>
      <w:bookmarkEnd w:id="33"/>
      <w:bookmarkEnd w:id="34"/>
      <w:bookmarkEnd w:id="35"/>
      <w:bookmarkEnd w:id="36"/>
      <w:bookmarkEnd w:id="37"/>
      <w:bookmarkEnd w:id="38"/>
      <w:bookmarkEnd w:id="39"/>
      <w:bookmarkEnd w:id="40"/>
      <w:bookmarkEnd w:id="41"/>
      <w:bookmarkEnd w:id="42"/>
      <w:bookmarkEnd w:id="43"/>
      <w:bookmarkEnd w:id="44"/>
    </w:p>
    <w:sdt>
      <w:sdtPr>
        <w:rPr>
          <w:rFonts w:ascii="Times New Roman"/>
        </w:rPr>
        <w:id w:val="715848253"/>
        <w:placeholder>
          <w:docPart w:val="D4C7897B338F4C4A86278B3851281C3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357F73B8">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B3ECC3D">
      <w:pPr>
        <w:pStyle w:val="56"/>
        <w:ind w:firstLine="420"/>
        <w:rPr>
          <w:rFonts w:ascii="Times New Roman"/>
        </w:rPr>
      </w:pPr>
      <w:bookmarkStart w:id="45" w:name="_Hlk208320910"/>
      <w:r>
        <w:rPr>
          <w:rFonts w:ascii="Times New Roman"/>
        </w:rPr>
        <w:t>GB/T 23331 能源管理体系 要求及使用指南</w:t>
      </w:r>
    </w:p>
    <w:p w14:paraId="740827D7">
      <w:pPr>
        <w:pStyle w:val="56"/>
        <w:ind w:firstLine="420"/>
        <w:rPr>
          <w:rFonts w:ascii="Times New Roman"/>
        </w:rPr>
      </w:pPr>
      <w:r>
        <w:rPr>
          <w:rFonts w:ascii="Times New Roman"/>
        </w:rPr>
        <w:t>GB/T 24001 环境管理体系 要求及使用指南</w:t>
      </w:r>
    </w:p>
    <w:p w14:paraId="35506EA4">
      <w:pPr>
        <w:pStyle w:val="56"/>
        <w:ind w:firstLine="420"/>
        <w:rPr>
          <w:rFonts w:ascii="Times New Roman"/>
        </w:rPr>
      </w:pPr>
      <w:r>
        <w:rPr>
          <w:rFonts w:ascii="Times New Roman"/>
        </w:rPr>
        <w:t>GB/T 36000 社会责任指南</w:t>
      </w:r>
    </w:p>
    <w:bookmarkEnd w:id="45"/>
    <w:p w14:paraId="720A0C5C">
      <w:pPr>
        <w:pStyle w:val="56"/>
        <w:ind w:firstLine="420"/>
        <w:rPr>
          <w:rFonts w:ascii="Times New Roman"/>
        </w:rPr>
      </w:pPr>
      <w:bookmarkStart w:id="46" w:name="_Hlk208321115"/>
      <w:r>
        <w:rPr>
          <w:rFonts w:ascii="Times New Roman"/>
        </w:rPr>
        <w:t>GB/T 36001</w:t>
      </w:r>
      <w:bookmarkEnd w:id="46"/>
      <w:r>
        <w:rPr>
          <w:rFonts w:ascii="Times New Roman"/>
        </w:rPr>
        <w:t xml:space="preserve"> 社会责任报告编写指南</w:t>
      </w:r>
    </w:p>
    <w:p w14:paraId="60382256">
      <w:pPr>
        <w:pStyle w:val="104"/>
        <w:spacing w:before="240" w:after="240"/>
        <w:rPr>
          <w:rFonts w:ascii="Times New Roman"/>
        </w:rPr>
      </w:pPr>
      <w:bookmarkStart w:id="47" w:name="_Toc210050460"/>
      <w:bookmarkStart w:id="48" w:name="_Toc208322777"/>
      <w:bookmarkStart w:id="49" w:name="_Toc97192966"/>
      <w:bookmarkStart w:id="50" w:name="_Toc210050364"/>
      <w:r>
        <w:rPr>
          <w:rFonts w:ascii="Times New Roman"/>
          <w:szCs w:val="21"/>
        </w:rPr>
        <w:t>术语和定义</w:t>
      </w:r>
      <w:bookmarkEnd w:id="47"/>
      <w:bookmarkEnd w:id="48"/>
      <w:bookmarkEnd w:id="49"/>
      <w:bookmarkEnd w:id="50"/>
    </w:p>
    <w:sdt>
      <w:sdtPr>
        <w:rPr>
          <w:rFonts w:ascii="Times New Roman"/>
        </w:rPr>
        <w:id w:val="-1909835108"/>
        <w:placeholder>
          <w:docPart w:val="3F47AF57F9FA435F96B740104D404FF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648A34E7">
          <w:pPr>
            <w:pStyle w:val="56"/>
            <w:ind w:firstLine="420"/>
            <w:rPr>
              <w:rFonts w:ascii="Times New Roman"/>
            </w:rPr>
          </w:pPr>
          <w:bookmarkStart w:id="51" w:name="_Toc26986532"/>
          <w:bookmarkEnd w:id="51"/>
          <w:r>
            <w:rPr>
              <w:rFonts w:ascii="Times New Roman"/>
            </w:rPr>
            <w:t>GB/T 23331、GB/T 24001、GB/T 36000、GB/T 36001界定的以及下列术语和定义适用于本文件。</w:t>
          </w:r>
        </w:p>
      </w:sdtContent>
    </w:sdt>
    <w:p w14:paraId="078503EA">
      <w:pPr>
        <w:pStyle w:val="223"/>
        <w:ind w:left="420" w:hanging="420" w:hangingChars="200"/>
        <w:rPr>
          <w:rFonts w:ascii="Times New Roman" w:eastAsia="黑体"/>
        </w:rPr>
      </w:pPr>
      <w:r>
        <w:rPr>
          <w:rFonts w:ascii="Times New Roman" w:eastAsia="黑体"/>
        </w:rPr>
        <w:br w:type="textWrapping"/>
      </w:r>
      <w:r>
        <w:rPr>
          <w:rFonts w:ascii="Times New Roman" w:eastAsia="黑体"/>
        </w:rPr>
        <w:t>ESG  Environmental Social Governance</w:t>
      </w:r>
    </w:p>
    <w:p w14:paraId="14F3EA53">
      <w:pPr>
        <w:pStyle w:val="56"/>
        <w:ind w:firstLine="420"/>
        <w:rPr>
          <w:rFonts w:ascii="Times New Roman"/>
        </w:rPr>
      </w:pPr>
      <w:r>
        <w:rPr>
          <w:rFonts w:ascii="Times New Roman"/>
        </w:rPr>
        <w:t>环境、社会和治理的英文首字母缩写，是一种关注企业环境、社会、治理绩效而非财务绩效的投资理念和企业评价标准。</w:t>
      </w:r>
    </w:p>
    <w:p w14:paraId="4A505396">
      <w:pPr>
        <w:pStyle w:val="223"/>
        <w:ind w:left="420" w:hanging="420" w:hangingChars="200"/>
        <w:rPr>
          <w:rFonts w:ascii="Times New Roman" w:eastAsia="黑体"/>
        </w:rPr>
      </w:pPr>
      <w:r>
        <w:rPr>
          <w:rFonts w:ascii="Times New Roman" w:eastAsia="黑体"/>
        </w:rPr>
        <w:br w:type="textWrapping"/>
      </w:r>
      <w:r>
        <w:rPr>
          <w:rFonts w:ascii="Times New Roman" w:eastAsia="黑体"/>
        </w:rPr>
        <w:t>利益相关方 stakeholder</w:t>
      </w:r>
    </w:p>
    <w:p w14:paraId="06A36D40">
      <w:pPr>
        <w:pStyle w:val="56"/>
        <w:ind w:firstLine="420"/>
        <w:rPr>
          <w:rFonts w:ascii="Times New Roman"/>
        </w:rPr>
      </w:pPr>
      <w:r>
        <w:rPr>
          <w:rFonts w:ascii="Times New Roman"/>
        </w:rPr>
        <w:t>能够影响企业决策和活动、受企业决策和活动影响，或感觉自身受到企业决策和活动影响的个人或群体。</w:t>
      </w:r>
    </w:p>
    <w:p w14:paraId="6FF3602A">
      <w:pPr>
        <w:pStyle w:val="223"/>
        <w:ind w:left="420" w:hanging="420" w:hangingChars="200"/>
        <w:rPr>
          <w:rFonts w:ascii="Times New Roman" w:eastAsia="黑体"/>
        </w:rPr>
      </w:pPr>
      <w:r>
        <w:rPr>
          <w:rFonts w:ascii="Times New Roman" w:eastAsia="黑体"/>
        </w:rPr>
        <w:br w:type="textWrapping"/>
      </w:r>
      <w:r>
        <w:rPr>
          <w:rFonts w:ascii="Times New Roman" w:eastAsia="黑体"/>
        </w:rPr>
        <w:t>碳足迹 carbon footprint</w:t>
      </w:r>
    </w:p>
    <w:p w14:paraId="4C6ECDD8">
      <w:pPr>
        <w:pStyle w:val="56"/>
        <w:ind w:firstLine="420"/>
        <w:rPr>
          <w:rFonts w:ascii="Times New Roman"/>
        </w:rPr>
      </w:pPr>
      <w:r>
        <w:rPr>
          <w:rFonts w:ascii="Times New Roman"/>
        </w:rPr>
        <w:t>衡量产品在整个生命周期中（从原材料获取到生产、分销、使用和废弃处理）直接和间接产生的温室气体排放量的指标。</w:t>
      </w:r>
    </w:p>
    <w:p w14:paraId="6777DAFE">
      <w:pPr>
        <w:pStyle w:val="104"/>
        <w:spacing w:before="240" w:after="240"/>
        <w:rPr>
          <w:rFonts w:ascii="Times New Roman"/>
        </w:rPr>
      </w:pPr>
      <w:bookmarkStart w:id="52" w:name="_Toc210050365"/>
      <w:bookmarkStart w:id="53" w:name="_Toc208322778"/>
      <w:bookmarkStart w:id="54" w:name="_Toc210050461"/>
      <w:r>
        <w:rPr>
          <w:rFonts w:ascii="Times New Roman"/>
        </w:rPr>
        <w:t>披露原则</w:t>
      </w:r>
      <w:bookmarkEnd w:id="52"/>
      <w:bookmarkEnd w:id="53"/>
      <w:bookmarkEnd w:id="54"/>
    </w:p>
    <w:p w14:paraId="08B25031">
      <w:pPr>
        <w:pStyle w:val="105"/>
        <w:spacing w:before="120" w:after="120"/>
        <w:rPr>
          <w:rFonts w:ascii="Times New Roman"/>
        </w:rPr>
      </w:pPr>
      <w:r>
        <w:rPr>
          <w:rFonts w:ascii="Times New Roman"/>
        </w:rPr>
        <w:t>实质性</w:t>
      </w:r>
    </w:p>
    <w:p w14:paraId="77704E9A">
      <w:pPr>
        <w:pStyle w:val="56"/>
        <w:ind w:firstLine="420"/>
        <w:rPr>
          <w:rFonts w:ascii="Times New Roman"/>
        </w:rPr>
      </w:pPr>
      <w:r>
        <w:rPr>
          <w:rFonts w:ascii="Times New Roman"/>
        </w:rPr>
        <w:t>优先披露对企业经营和利益相关方决策有重大影响的ESG因素。鞋类企业应重点关注材料可持续性、供应链劳工权益、化学品管理、碳足迹等行业关键议题。</w:t>
      </w:r>
    </w:p>
    <w:p w14:paraId="61EEB91E">
      <w:pPr>
        <w:pStyle w:val="105"/>
        <w:spacing w:before="120" w:after="120"/>
        <w:rPr>
          <w:rFonts w:ascii="Times New Roman"/>
        </w:rPr>
      </w:pPr>
      <w:r>
        <w:rPr>
          <w:rFonts w:ascii="Times New Roman"/>
        </w:rPr>
        <w:t>准确性</w:t>
      </w:r>
    </w:p>
    <w:p w14:paraId="366194B0">
      <w:pPr>
        <w:pStyle w:val="56"/>
        <w:ind w:firstLine="420"/>
        <w:rPr>
          <w:rFonts w:ascii="Times New Roman"/>
        </w:rPr>
      </w:pPr>
      <w:r>
        <w:rPr>
          <w:rFonts w:ascii="Times New Roman"/>
        </w:rPr>
        <w:t>披露信息应真实、准确、完整，有可靠数据来源和计算方法支持，必要时引入第三方核验。</w:t>
      </w:r>
    </w:p>
    <w:p w14:paraId="6057504E">
      <w:pPr>
        <w:pStyle w:val="105"/>
        <w:spacing w:before="120" w:after="120"/>
        <w:rPr>
          <w:rFonts w:ascii="Times New Roman"/>
        </w:rPr>
      </w:pPr>
      <w:r>
        <w:rPr>
          <w:rFonts w:ascii="Times New Roman"/>
        </w:rPr>
        <w:t>及时性</w:t>
      </w:r>
    </w:p>
    <w:p w14:paraId="6F9CDCAF">
      <w:pPr>
        <w:pStyle w:val="56"/>
        <w:ind w:firstLine="420"/>
        <w:rPr>
          <w:rFonts w:ascii="Times New Roman"/>
        </w:rPr>
      </w:pPr>
      <w:r>
        <w:rPr>
          <w:rFonts w:ascii="Times New Roman"/>
        </w:rPr>
        <w:t>企业应定期披露ESG信息，至少每年一次，并及时公布重大ESG相关事件和进展。</w:t>
      </w:r>
    </w:p>
    <w:p w14:paraId="3B0AD94F">
      <w:pPr>
        <w:pStyle w:val="105"/>
        <w:spacing w:before="120" w:after="120"/>
        <w:rPr>
          <w:rFonts w:ascii="Times New Roman"/>
        </w:rPr>
      </w:pPr>
      <w:r>
        <w:rPr>
          <w:rFonts w:ascii="Times New Roman"/>
        </w:rPr>
        <w:t>可比性</w:t>
      </w:r>
    </w:p>
    <w:p w14:paraId="5D500DAA">
      <w:pPr>
        <w:pStyle w:val="56"/>
        <w:ind w:firstLine="420"/>
        <w:rPr>
          <w:rFonts w:ascii="Times New Roman"/>
        </w:rPr>
      </w:pPr>
      <w:r>
        <w:rPr>
          <w:rFonts w:ascii="Times New Roman"/>
        </w:rPr>
        <w:t>披露信息应保持连续性和一致性，使用标准化指标和计算方法，便于纵向和横向比较。</w:t>
      </w:r>
    </w:p>
    <w:p w14:paraId="2B6D4671">
      <w:pPr>
        <w:pStyle w:val="105"/>
        <w:spacing w:before="120" w:after="120"/>
        <w:rPr>
          <w:rFonts w:ascii="Times New Roman"/>
        </w:rPr>
      </w:pPr>
      <w:r>
        <w:rPr>
          <w:rFonts w:ascii="Times New Roman"/>
        </w:rPr>
        <w:t>透明性</w:t>
      </w:r>
    </w:p>
    <w:p w14:paraId="51DBC7B6">
      <w:pPr>
        <w:pStyle w:val="56"/>
        <w:ind w:firstLine="420"/>
        <w:rPr>
          <w:rFonts w:ascii="Times New Roman"/>
        </w:rPr>
      </w:pPr>
      <w:r>
        <w:rPr>
          <w:rFonts w:ascii="Times New Roman"/>
        </w:rPr>
        <w:t>信息披露应清晰、明确、易于理解，避免选择性披露和误导性陈述，保护商业秘密的同时确保关键信息的透明度。</w:t>
      </w:r>
    </w:p>
    <w:p w14:paraId="10805476">
      <w:pPr>
        <w:pStyle w:val="104"/>
        <w:spacing w:before="240" w:after="240"/>
        <w:rPr>
          <w:rFonts w:ascii="Times New Roman"/>
        </w:rPr>
      </w:pPr>
      <w:bookmarkStart w:id="55" w:name="_Toc210050462"/>
      <w:bookmarkStart w:id="56" w:name="_Toc210050366"/>
      <w:bookmarkStart w:id="57" w:name="_Toc208322779"/>
      <w:r>
        <w:rPr>
          <w:rFonts w:ascii="Times New Roman"/>
        </w:rPr>
        <w:t>披露指标体系</w:t>
      </w:r>
      <w:bookmarkEnd w:id="55"/>
      <w:bookmarkEnd w:id="56"/>
      <w:bookmarkEnd w:id="57"/>
    </w:p>
    <w:p w14:paraId="2634F9E7">
      <w:pPr>
        <w:pStyle w:val="56"/>
        <w:ind w:firstLine="420"/>
        <w:rPr>
          <w:rFonts w:ascii="Times New Roman"/>
        </w:rPr>
      </w:pPr>
      <w:r>
        <w:rPr>
          <w:rFonts w:ascii="Times New Roman"/>
        </w:rPr>
        <w:t>鞋类企业ESG披露应包含环境、社会和治理三大维度，下设一级指标、二级指标和具体测量指标，详见表1。</w:t>
      </w:r>
    </w:p>
    <w:p w14:paraId="657FD0B7">
      <w:pPr>
        <w:pStyle w:val="112"/>
        <w:spacing w:before="120" w:after="120"/>
        <w:rPr>
          <w:rFonts w:ascii="Times New Roman"/>
        </w:rPr>
      </w:pPr>
      <w:r>
        <w:rPr>
          <w:rFonts w:ascii="Times New Roman"/>
        </w:rPr>
        <w:t>鞋类企业ESG披露指标体系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701"/>
        <w:gridCol w:w="2410"/>
        <w:gridCol w:w="1275"/>
        <w:gridCol w:w="3107"/>
      </w:tblGrid>
      <w:tr w14:paraId="2313C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2" w:hRule="atLeast"/>
          <w:tblHeader/>
          <w:jc w:val="center"/>
        </w:trPr>
        <w:tc>
          <w:tcPr>
            <w:tcW w:w="841" w:type="dxa"/>
            <w:tcBorders>
              <w:top w:val="single" w:color="auto" w:sz="8" w:space="0"/>
              <w:bottom w:val="single" w:color="auto" w:sz="8" w:space="0"/>
            </w:tcBorders>
            <w:vAlign w:val="center"/>
          </w:tcPr>
          <w:p w14:paraId="38F3060A">
            <w:pPr>
              <w:pStyle w:val="178"/>
              <w:rPr>
                <w:rFonts w:ascii="Times New Roman"/>
              </w:rPr>
            </w:pPr>
            <w:r>
              <w:rPr>
                <w:rFonts w:ascii="Times New Roman"/>
              </w:rPr>
              <w:t>一级指标</w:t>
            </w:r>
          </w:p>
        </w:tc>
        <w:tc>
          <w:tcPr>
            <w:tcW w:w="1701" w:type="dxa"/>
            <w:tcBorders>
              <w:top w:val="single" w:color="auto" w:sz="8" w:space="0"/>
              <w:bottom w:val="single" w:color="auto" w:sz="8" w:space="0"/>
            </w:tcBorders>
            <w:vAlign w:val="center"/>
          </w:tcPr>
          <w:p w14:paraId="5E3B8AB1">
            <w:pPr>
              <w:pStyle w:val="178"/>
              <w:rPr>
                <w:rFonts w:ascii="Times New Roman"/>
              </w:rPr>
            </w:pPr>
            <w:r>
              <w:rPr>
                <w:rFonts w:ascii="Times New Roman"/>
              </w:rPr>
              <w:t>二级指标</w:t>
            </w:r>
          </w:p>
        </w:tc>
        <w:tc>
          <w:tcPr>
            <w:tcW w:w="2410" w:type="dxa"/>
            <w:tcBorders>
              <w:top w:val="single" w:color="auto" w:sz="8" w:space="0"/>
              <w:bottom w:val="single" w:color="auto" w:sz="8" w:space="0"/>
            </w:tcBorders>
            <w:vAlign w:val="center"/>
          </w:tcPr>
          <w:p w14:paraId="2D449912">
            <w:pPr>
              <w:pStyle w:val="178"/>
              <w:rPr>
                <w:rFonts w:ascii="Times New Roman"/>
              </w:rPr>
            </w:pPr>
            <w:r>
              <w:rPr>
                <w:rFonts w:ascii="Times New Roman"/>
              </w:rPr>
              <w:t>三级指标</w:t>
            </w:r>
          </w:p>
        </w:tc>
        <w:tc>
          <w:tcPr>
            <w:tcW w:w="1275" w:type="dxa"/>
            <w:tcBorders>
              <w:top w:val="single" w:color="auto" w:sz="8" w:space="0"/>
              <w:bottom w:val="single" w:color="auto" w:sz="8" w:space="0"/>
            </w:tcBorders>
            <w:vAlign w:val="center"/>
          </w:tcPr>
          <w:p w14:paraId="3BB1092D">
            <w:pPr>
              <w:pStyle w:val="178"/>
              <w:rPr>
                <w:rFonts w:ascii="Times New Roman"/>
              </w:rPr>
            </w:pPr>
            <w:r>
              <w:rPr>
                <w:rFonts w:ascii="Times New Roman"/>
              </w:rPr>
              <w:t>指标性质</w:t>
            </w:r>
          </w:p>
        </w:tc>
        <w:tc>
          <w:tcPr>
            <w:tcW w:w="3107" w:type="dxa"/>
            <w:tcBorders>
              <w:top w:val="single" w:color="auto" w:sz="8" w:space="0"/>
              <w:bottom w:val="single" w:color="auto" w:sz="8" w:space="0"/>
            </w:tcBorders>
            <w:vAlign w:val="center"/>
          </w:tcPr>
          <w:p w14:paraId="11B9E1AF">
            <w:pPr>
              <w:pStyle w:val="178"/>
              <w:rPr>
                <w:rFonts w:ascii="Times New Roman"/>
              </w:rPr>
            </w:pPr>
            <w:r>
              <w:rPr>
                <w:rFonts w:ascii="Times New Roman"/>
              </w:rPr>
              <w:t>指标说明</w:t>
            </w:r>
          </w:p>
        </w:tc>
      </w:tr>
      <w:tr w14:paraId="47478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56" w:hRule="atLeast"/>
          <w:jc w:val="center"/>
        </w:trPr>
        <w:tc>
          <w:tcPr>
            <w:tcW w:w="841" w:type="dxa"/>
            <w:vMerge w:val="restart"/>
            <w:vAlign w:val="center"/>
          </w:tcPr>
          <w:p w14:paraId="61EE47DE">
            <w:pPr>
              <w:pStyle w:val="178"/>
              <w:rPr>
                <w:rFonts w:ascii="Times New Roman"/>
              </w:rPr>
            </w:pPr>
            <w:r>
              <w:rPr>
                <w:rFonts w:ascii="Times New Roman"/>
              </w:rPr>
              <w:t>E 环境</w:t>
            </w:r>
          </w:p>
        </w:tc>
        <w:tc>
          <w:tcPr>
            <w:tcW w:w="1701" w:type="dxa"/>
            <w:vMerge w:val="restart"/>
            <w:vAlign w:val="center"/>
          </w:tcPr>
          <w:p w14:paraId="0D480716">
            <w:pPr>
              <w:pStyle w:val="178"/>
              <w:rPr>
                <w:rFonts w:ascii="Times New Roman"/>
              </w:rPr>
            </w:pPr>
            <w:r>
              <w:rPr>
                <w:rFonts w:ascii="Times New Roman"/>
              </w:rPr>
              <w:t>E1 气候变化</w:t>
            </w:r>
          </w:p>
        </w:tc>
        <w:tc>
          <w:tcPr>
            <w:tcW w:w="2410" w:type="dxa"/>
            <w:vAlign w:val="center"/>
          </w:tcPr>
          <w:p w14:paraId="1F449F00">
            <w:pPr>
              <w:pStyle w:val="178"/>
              <w:jc w:val="both"/>
              <w:rPr>
                <w:rFonts w:ascii="Times New Roman"/>
              </w:rPr>
            </w:pPr>
            <w:r>
              <w:rPr>
                <w:rFonts w:ascii="Times New Roman"/>
              </w:rPr>
              <w:t>E1.1 温室气体排放总量</w:t>
            </w:r>
          </w:p>
        </w:tc>
        <w:tc>
          <w:tcPr>
            <w:tcW w:w="1275" w:type="dxa"/>
            <w:vAlign w:val="center"/>
          </w:tcPr>
          <w:p w14:paraId="26948BD5">
            <w:pPr>
              <w:pStyle w:val="178"/>
              <w:rPr>
                <w:rFonts w:ascii="Times New Roman"/>
              </w:rPr>
            </w:pPr>
            <w:r>
              <w:rPr>
                <w:rFonts w:ascii="Times New Roman"/>
              </w:rPr>
              <w:t>定量</w:t>
            </w:r>
          </w:p>
        </w:tc>
        <w:tc>
          <w:tcPr>
            <w:tcW w:w="3107" w:type="dxa"/>
            <w:vAlign w:val="center"/>
          </w:tcPr>
          <w:p w14:paraId="01DCCC96">
            <w:pPr>
              <w:pStyle w:val="178"/>
              <w:jc w:val="both"/>
              <w:rPr>
                <w:rFonts w:ascii="Times New Roman"/>
              </w:rPr>
            </w:pPr>
            <w:r>
              <w:rPr>
                <w:rFonts w:ascii="Times New Roman"/>
              </w:rPr>
              <w:t>披露按《温室气体议定书》标准核算的范围一、范围二及范围三的碳排放总量（单位：吨二氧化碳当量）</w:t>
            </w:r>
          </w:p>
          <w:p w14:paraId="2BC53323">
            <w:pPr>
              <w:pStyle w:val="178"/>
              <w:jc w:val="both"/>
              <w:rPr>
                <w:rFonts w:ascii="Times New Roman"/>
              </w:rPr>
            </w:pPr>
            <w:r>
              <w:rPr>
                <w:rFonts w:ascii="Times New Roman"/>
              </w:rPr>
              <w:t>范围三包含原材料、产品运输、废弃物处理等环节</w:t>
            </w:r>
          </w:p>
        </w:tc>
      </w:tr>
      <w:tr w14:paraId="0B360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841" w:type="dxa"/>
            <w:vMerge w:val="continue"/>
            <w:vAlign w:val="center"/>
          </w:tcPr>
          <w:p w14:paraId="1E2625C6">
            <w:pPr>
              <w:pStyle w:val="178"/>
              <w:rPr>
                <w:rFonts w:ascii="Times New Roman"/>
              </w:rPr>
            </w:pPr>
          </w:p>
        </w:tc>
        <w:tc>
          <w:tcPr>
            <w:tcW w:w="1701" w:type="dxa"/>
            <w:vMerge w:val="continue"/>
            <w:vAlign w:val="center"/>
          </w:tcPr>
          <w:p w14:paraId="3883E277">
            <w:pPr>
              <w:pStyle w:val="178"/>
              <w:rPr>
                <w:rFonts w:ascii="Times New Roman"/>
              </w:rPr>
            </w:pPr>
          </w:p>
        </w:tc>
        <w:tc>
          <w:tcPr>
            <w:tcW w:w="2410" w:type="dxa"/>
            <w:vAlign w:val="center"/>
          </w:tcPr>
          <w:p w14:paraId="3693B849">
            <w:pPr>
              <w:pStyle w:val="178"/>
              <w:jc w:val="both"/>
              <w:rPr>
                <w:rFonts w:ascii="Times New Roman"/>
              </w:rPr>
            </w:pPr>
            <w:r>
              <w:rPr>
                <w:rFonts w:ascii="Times New Roman"/>
              </w:rPr>
              <w:t>E1.2 单位产值/产品碳强度</w:t>
            </w:r>
          </w:p>
        </w:tc>
        <w:tc>
          <w:tcPr>
            <w:tcW w:w="1275" w:type="dxa"/>
            <w:vAlign w:val="center"/>
          </w:tcPr>
          <w:p w14:paraId="5C11A62E">
            <w:pPr>
              <w:pStyle w:val="178"/>
              <w:rPr>
                <w:rFonts w:ascii="Times New Roman"/>
              </w:rPr>
            </w:pPr>
            <w:r>
              <w:rPr>
                <w:rFonts w:ascii="Times New Roman"/>
              </w:rPr>
              <w:t>定量</w:t>
            </w:r>
          </w:p>
        </w:tc>
        <w:tc>
          <w:tcPr>
            <w:tcW w:w="3107" w:type="dxa"/>
            <w:vAlign w:val="center"/>
          </w:tcPr>
          <w:p w14:paraId="2C210E80">
            <w:pPr>
              <w:pStyle w:val="178"/>
              <w:jc w:val="both"/>
              <w:rPr>
                <w:rFonts w:ascii="Times New Roman"/>
              </w:rPr>
            </w:pPr>
            <w:r>
              <w:rPr>
                <w:rFonts w:ascii="Times New Roman"/>
              </w:rPr>
              <w:t>温室气体排放总量与总产值或总产量（双/吨）的比值，衡量企业的碳排放效率</w:t>
            </w:r>
          </w:p>
        </w:tc>
      </w:tr>
      <w:tr w14:paraId="269D4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841" w:type="dxa"/>
            <w:vMerge w:val="continue"/>
            <w:vAlign w:val="center"/>
          </w:tcPr>
          <w:p w14:paraId="336541BD">
            <w:pPr>
              <w:pStyle w:val="178"/>
              <w:rPr>
                <w:rFonts w:ascii="Times New Roman"/>
              </w:rPr>
            </w:pPr>
          </w:p>
        </w:tc>
        <w:tc>
          <w:tcPr>
            <w:tcW w:w="1701" w:type="dxa"/>
            <w:vMerge w:val="continue"/>
            <w:vAlign w:val="center"/>
          </w:tcPr>
          <w:p w14:paraId="4E97C7A0">
            <w:pPr>
              <w:pStyle w:val="178"/>
              <w:rPr>
                <w:rFonts w:ascii="Times New Roman"/>
              </w:rPr>
            </w:pPr>
          </w:p>
        </w:tc>
        <w:tc>
          <w:tcPr>
            <w:tcW w:w="2410" w:type="dxa"/>
            <w:vAlign w:val="center"/>
          </w:tcPr>
          <w:p w14:paraId="2FD22868">
            <w:pPr>
              <w:pStyle w:val="178"/>
              <w:jc w:val="both"/>
              <w:rPr>
                <w:rFonts w:ascii="Times New Roman"/>
              </w:rPr>
            </w:pPr>
            <w:r>
              <w:rPr>
                <w:rFonts w:ascii="Times New Roman"/>
              </w:rPr>
              <w:t>E1.3 碳中和目标与路径</w:t>
            </w:r>
          </w:p>
        </w:tc>
        <w:tc>
          <w:tcPr>
            <w:tcW w:w="1275" w:type="dxa"/>
            <w:vAlign w:val="center"/>
          </w:tcPr>
          <w:p w14:paraId="2C64EB1C">
            <w:pPr>
              <w:pStyle w:val="178"/>
              <w:rPr>
                <w:rFonts w:ascii="Times New Roman"/>
              </w:rPr>
            </w:pPr>
            <w:r>
              <w:rPr>
                <w:rFonts w:ascii="Times New Roman"/>
              </w:rPr>
              <w:t>定性/定量</w:t>
            </w:r>
          </w:p>
        </w:tc>
        <w:tc>
          <w:tcPr>
            <w:tcW w:w="3107" w:type="dxa"/>
            <w:vAlign w:val="center"/>
          </w:tcPr>
          <w:p w14:paraId="369C5608">
            <w:pPr>
              <w:pStyle w:val="178"/>
              <w:jc w:val="both"/>
              <w:rPr>
                <w:rFonts w:ascii="Times New Roman"/>
              </w:rPr>
            </w:pPr>
            <w:r>
              <w:rPr>
                <w:rFonts w:ascii="Times New Roman"/>
              </w:rPr>
              <w:t>披露是否制定科学的碳中和时间表、路线图（如基于SBTi标准）及阶段性进展</w:t>
            </w:r>
          </w:p>
        </w:tc>
      </w:tr>
      <w:tr w14:paraId="7D25B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841" w:type="dxa"/>
            <w:vMerge w:val="continue"/>
            <w:vAlign w:val="center"/>
          </w:tcPr>
          <w:p w14:paraId="7ADEF7D7">
            <w:pPr>
              <w:pStyle w:val="178"/>
              <w:rPr>
                <w:rFonts w:ascii="Times New Roman"/>
              </w:rPr>
            </w:pPr>
          </w:p>
        </w:tc>
        <w:tc>
          <w:tcPr>
            <w:tcW w:w="1701" w:type="dxa"/>
            <w:vMerge w:val="restart"/>
            <w:vAlign w:val="center"/>
          </w:tcPr>
          <w:p w14:paraId="56D6F1E2">
            <w:pPr>
              <w:pStyle w:val="178"/>
              <w:rPr>
                <w:rFonts w:ascii="Times New Roman"/>
              </w:rPr>
            </w:pPr>
            <w:r>
              <w:rPr>
                <w:rFonts w:ascii="Times New Roman"/>
              </w:rPr>
              <w:t>E2 污染防控</w:t>
            </w:r>
          </w:p>
        </w:tc>
        <w:tc>
          <w:tcPr>
            <w:tcW w:w="2410" w:type="dxa"/>
            <w:vAlign w:val="center"/>
          </w:tcPr>
          <w:p w14:paraId="0F0A51D5">
            <w:pPr>
              <w:pStyle w:val="178"/>
              <w:jc w:val="both"/>
              <w:rPr>
                <w:rFonts w:ascii="Times New Roman"/>
              </w:rPr>
            </w:pPr>
            <w:r>
              <w:rPr>
                <w:rFonts w:ascii="Times New Roman"/>
              </w:rPr>
              <w:t>E2.1 废水排放量及 COD/总氮/总磷等关键污染物浓度</w:t>
            </w:r>
          </w:p>
        </w:tc>
        <w:tc>
          <w:tcPr>
            <w:tcW w:w="1275" w:type="dxa"/>
            <w:vAlign w:val="center"/>
          </w:tcPr>
          <w:p w14:paraId="19F20CFB">
            <w:pPr>
              <w:pStyle w:val="178"/>
              <w:rPr>
                <w:rFonts w:ascii="Times New Roman"/>
              </w:rPr>
            </w:pPr>
            <w:r>
              <w:rPr>
                <w:rFonts w:ascii="Times New Roman"/>
              </w:rPr>
              <w:t>定量</w:t>
            </w:r>
          </w:p>
        </w:tc>
        <w:tc>
          <w:tcPr>
            <w:tcW w:w="3107" w:type="dxa"/>
            <w:vAlign w:val="center"/>
          </w:tcPr>
          <w:p w14:paraId="75E8C04A">
            <w:pPr>
              <w:pStyle w:val="178"/>
              <w:jc w:val="both"/>
              <w:rPr>
                <w:rFonts w:ascii="Times New Roman"/>
              </w:rPr>
            </w:pPr>
            <w:r>
              <w:rPr>
                <w:rFonts w:ascii="Times New Roman"/>
              </w:rPr>
              <w:t>披露生产废水排放总量、主要污染物的排放浓度和总量，以及达标情况</w:t>
            </w:r>
          </w:p>
        </w:tc>
      </w:tr>
      <w:tr w14:paraId="117A4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841" w:type="dxa"/>
            <w:vMerge w:val="continue"/>
            <w:vAlign w:val="center"/>
          </w:tcPr>
          <w:p w14:paraId="2C2441EC">
            <w:pPr>
              <w:pStyle w:val="178"/>
              <w:rPr>
                <w:rFonts w:ascii="Times New Roman"/>
              </w:rPr>
            </w:pPr>
          </w:p>
        </w:tc>
        <w:tc>
          <w:tcPr>
            <w:tcW w:w="1701" w:type="dxa"/>
            <w:vMerge w:val="continue"/>
            <w:vAlign w:val="center"/>
          </w:tcPr>
          <w:p w14:paraId="0601B81B">
            <w:pPr>
              <w:pStyle w:val="178"/>
              <w:rPr>
                <w:rFonts w:ascii="Times New Roman"/>
              </w:rPr>
            </w:pPr>
          </w:p>
        </w:tc>
        <w:tc>
          <w:tcPr>
            <w:tcW w:w="2410" w:type="dxa"/>
            <w:vAlign w:val="center"/>
          </w:tcPr>
          <w:p w14:paraId="0B008E39">
            <w:pPr>
              <w:pStyle w:val="178"/>
              <w:jc w:val="both"/>
              <w:rPr>
                <w:rFonts w:ascii="Times New Roman"/>
              </w:rPr>
            </w:pPr>
            <w:r>
              <w:rPr>
                <w:rFonts w:ascii="Times New Roman"/>
              </w:rPr>
              <w:t>E2.2 废气排放量及 VOCs 等关键污染物排放量</w:t>
            </w:r>
          </w:p>
        </w:tc>
        <w:tc>
          <w:tcPr>
            <w:tcW w:w="1275" w:type="dxa"/>
            <w:vAlign w:val="center"/>
          </w:tcPr>
          <w:p w14:paraId="2F5CCCD7">
            <w:pPr>
              <w:pStyle w:val="178"/>
              <w:rPr>
                <w:rFonts w:ascii="Times New Roman"/>
              </w:rPr>
            </w:pPr>
            <w:r>
              <w:rPr>
                <w:rFonts w:ascii="Times New Roman"/>
              </w:rPr>
              <w:t>定量</w:t>
            </w:r>
          </w:p>
        </w:tc>
        <w:tc>
          <w:tcPr>
            <w:tcW w:w="3107" w:type="dxa"/>
            <w:vAlign w:val="center"/>
          </w:tcPr>
          <w:p w14:paraId="162B2D6C">
            <w:pPr>
              <w:pStyle w:val="178"/>
              <w:jc w:val="both"/>
              <w:rPr>
                <w:rFonts w:ascii="Times New Roman"/>
              </w:rPr>
            </w:pPr>
            <w:r>
              <w:rPr>
                <w:rFonts w:ascii="Times New Roman"/>
              </w:rPr>
              <w:t>披露生产过程中（特别是鞋底加工、胶粘、涂饰环节）的VOCs（挥发性有机物）等废气的排放量及治理措施</w:t>
            </w:r>
          </w:p>
        </w:tc>
      </w:tr>
      <w:tr w14:paraId="7B8A1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84" w:hRule="atLeast"/>
          <w:jc w:val="center"/>
        </w:trPr>
        <w:tc>
          <w:tcPr>
            <w:tcW w:w="841" w:type="dxa"/>
            <w:vMerge w:val="continue"/>
            <w:vAlign w:val="center"/>
          </w:tcPr>
          <w:p w14:paraId="6624C993">
            <w:pPr>
              <w:pStyle w:val="178"/>
              <w:rPr>
                <w:rFonts w:ascii="Times New Roman"/>
              </w:rPr>
            </w:pPr>
          </w:p>
        </w:tc>
        <w:tc>
          <w:tcPr>
            <w:tcW w:w="1701" w:type="dxa"/>
            <w:vMerge w:val="continue"/>
            <w:vAlign w:val="center"/>
          </w:tcPr>
          <w:p w14:paraId="2C55F5D4">
            <w:pPr>
              <w:pStyle w:val="178"/>
              <w:rPr>
                <w:rFonts w:ascii="Times New Roman"/>
              </w:rPr>
            </w:pPr>
          </w:p>
        </w:tc>
        <w:tc>
          <w:tcPr>
            <w:tcW w:w="2410" w:type="dxa"/>
            <w:vAlign w:val="center"/>
          </w:tcPr>
          <w:p w14:paraId="78C48F4B">
            <w:pPr>
              <w:pStyle w:val="178"/>
              <w:jc w:val="both"/>
              <w:rPr>
                <w:rFonts w:ascii="Times New Roman"/>
              </w:rPr>
            </w:pPr>
            <w:r>
              <w:rPr>
                <w:rFonts w:ascii="Times New Roman"/>
              </w:rPr>
              <w:t>E2.3 危险废物产生量与处置率</w:t>
            </w:r>
          </w:p>
        </w:tc>
        <w:tc>
          <w:tcPr>
            <w:tcW w:w="1275" w:type="dxa"/>
            <w:vAlign w:val="center"/>
          </w:tcPr>
          <w:p w14:paraId="27BA22D0">
            <w:pPr>
              <w:pStyle w:val="178"/>
              <w:rPr>
                <w:rFonts w:ascii="Times New Roman"/>
              </w:rPr>
            </w:pPr>
            <w:r>
              <w:rPr>
                <w:rFonts w:ascii="Times New Roman"/>
              </w:rPr>
              <w:t>定量</w:t>
            </w:r>
          </w:p>
        </w:tc>
        <w:tc>
          <w:tcPr>
            <w:tcW w:w="3107" w:type="dxa"/>
            <w:vAlign w:val="center"/>
          </w:tcPr>
          <w:p w14:paraId="2AD65510">
            <w:pPr>
              <w:pStyle w:val="178"/>
              <w:jc w:val="both"/>
              <w:rPr>
                <w:rFonts w:ascii="Times New Roman"/>
              </w:rPr>
            </w:pPr>
            <w:r>
              <w:rPr>
                <w:rFonts w:ascii="Times New Roman"/>
              </w:rPr>
              <w:t>披露生产过程中产生的危险废物（如含胶渣、化学废料）的数量、分类、合法处置率及去向</w:t>
            </w:r>
          </w:p>
        </w:tc>
      </w:tr>
      <w:tr w14:paraId="362BB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43" w:hRule="atLeast"/>
          <w:jc w:val="center"/>
        </w:trPr>
        <w:tc>
          <w:tcPr>
            <w:tcW w:w="841" w:type="dxa"/>
            <w:vMerge w:val="continue"/>
            <w:vAlign w:val="center"/>
          </w:tcPr>
          <w:p w14:paraId="159D518D">
            <w:pPr>
              <w:pStyle w:val="178"/>
              <w:rPr>
                <w:rFonts w:ascii="Times New Roman"/>
              </w:rPr>
            </w:pPr>
          </w:p>
        </w:tc>
        <w:tc>
          <w:tcPr>
            <w:tcW w:w="1701" w:type="dxa"/>
            <w:vMerge w:val="restart"/>
            <w:vAlign w:val="center"/>
          </w:tcPr>
          <w:p w14:paraId="4F4E5BC6">
            <w:pPr>
              <w:pStyle w:val="178"/>
              <w:rPr>
                <w:rFonts w:ascii="Times New Roman"/>
              </w:rPr>
            </w:pPr>
            <w:r>
              <w:rPr>
                <w:rFonts w:ascii="Times New Roman"/>
              </w:rPr>
              <w:t>E3 资源利用</w:t>
            </w:r>
          </w:p>
        </w:tc>
        <w:tc>
          <w:tcPr>
            <w:tcW w:w="2410" w:type="dxa"/>
            <w:vAlign w:val="center"/>
          </w:tcPr>
          <w:p w14:paraId="0C2394B3">
            <w:pPr>
              <w:pStyle w:val="178"/>
              <w:jc w:val="both"/>
              <w:rPr>
                <w:rFonts w:ascii="Times New Roman"/>
              </w:rPr>
            </w:pPr>
            <w:r>
              <w:rPr>
                <w:rFonts w:ascii="Times New Roman"/>
              </w:rPr>
              <w:t>E3.1 综合能耗及单位产品能耗</w:t>
            </w:r>
          </w:p>
        </w:tc>
        <w:tc>
          <w:tcPr>
            <w:tcW w:w="1275" w:type="dxa"/>
            <w:vAlign w:val="center"/>
          </w:tcPr>
          <w:p w14:paraId="4C0C3B5E">
            <w:pPr>
              <w:pStyle w:val="178"/>
              <w:rPr>
                <w:rFonts w:ascii="Times New Roman"/>
              </w:rPr>
            </w:pPr>
            <w:r>
              <w:rPr>
                <w:rFonts w:ascii="Times New Roman"/>
              </w:rPr>
              <w:t>定量</w:t>
            </w:r>
          </w:p>
        </w:tc>
        <w:tc>
          <w:tcPr>
            <w:tcW w:w="3107" w:type="dxa"/>
            <w:vAlign w:val="center"/>
          </w:tcPr>
          <w:p w14:paraId="0C4E62AA">
            <w:pPr>
              <w:pStyle w:val="178"/>
              <w:jc w:val="both"/>
              <w:rPr>
                <w:rFonts w:ascii="Times New Roman"/>
              </w:rPr>
            </w:pPr>
            <w:r>
              <w:rPr>
                <w:rFonts w:ascii="Times New Roman"/>
              </w:rPr>
              <w:t>披露综合能耗消耗总量（折算标准煤）及单位产品能耗，反映能源利用效率</w:t>
            </w:r>
          </w:p>
        </w:tc>
      </w:tr>
      <w:tr w14:paraId="7741C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67" w:hRule="atLeast"/>
          <w:jc w:val="center"/>
        </w:trPr>
        <w:tc>
          <w:tcPr>
            <w:tcW w:w="841" w:type="dxa"/>
            <w:vMerge w:val="continue"/>
            <w:vAlign w:val="center"/>
          </w:tcPr>
          <w:p w14:paraId="1475E8E0">
            <w:pPr>
              <w:pStyle w:val="178"/>
              <w:rPr>
                <w:rFonts w:ascii="Times New Roman"/>
              </w:rPr>
            </w:pPr>
          </w:p>
        </w:tc>
        <w:tc>
          <w:tcPr>
            <w:tcW w:w="1701" w:type="dxa"/>
            <w:vMerge w:val="continue"/>
            <w:vAlign w:val="center"/>
          </w:tcPr>
          <w:p w14:paraId="0A7390C0">
            <w:pPr>
              <w:pStyle w:val="178"/>
              <w:rPr>
                <w:rFonts w:ascii="Times New Roman"/>
              </w:rPr>
            </w:pPr>
          </w:p>
        </w:tc>
        <w:tc>
          <w:tcPr>
            <w:tcW w:w="2410" w:type="dxa"/>
            <w:vAlign w:val="center"/>
          </w:tcPr>
          <w:p w14:paraId="0E84D225">
            <w:pPr>
              <w:pStyle w:val="178"/>
              <w:jc w:val="both"/>
              <w:rPr>
                <w:rFonts w:ascii="Times New Roman"/>
              </w:rPr>
            </w:pPr>
            <w:r>
              <w:rPr>
                <w:rFonts w:ascii="Times New Roman"/>
              </w:rPr>
              <w:t>E3.2 新鲜水耗用量及单位产品水耗</w:t>
            </w:r>
          </w:p>
        </w:tc>
        <w:tc>
          <w:tcPr>
            <w:tcW w:w="1275" w:type="dxa"/>
            <w:vAlign w:val="center"/>
          </w:tcPr>
          <w:p w14:paraId="187E985B">
            <w:pPr>
              <w:pStyle w:val="178"/>
              <w:rPr>
                <w:rFonts w:ascii="Times New Roman"/>
              </w:rPr>
            </w:pPr>
            <w:r>
              <w:rPr>
                <w:rFonts w:ascii="Times New Roman"/>
              </w:rPr>
              <w:t>定量</w:t>
            </w:r>
          </w:p>
        </w:tc>
        <w:tc>
          <w:tcPr>
            <w:tcW w:w="3107" w:type="dxa"/>
            <w:vAlign w:val="center"/>
          </w:tcPr>
          <w:p w14:paraId="5F9F3462">
            <w:pPr>
              <w:pStyle w:val="178"/>
              <w:jc w:val="both"/>
              <w:rPr>
                <w:rFonts w:ascii="Times New Roman"/>
              </w:rPr>
            </w:pPr>
            <w:r>
              <w:rPr>
                <w:rFonts w:ascii="Times New Roman"/>
              </w:rPr>
              <w:t>披露新鲜水取水量、循环用水率及单位产品水耗</w:t>
            </w:r>
          </w:p>
          <w:p w14:paraId="4BA79667">
            <w:pPr>
              <w:pStyle w:val="178"/>
              <w:jc w:val="both"/>
              <w:rPr>
                <w:rFonts w:ascii="Times New Roman"/>
              </w:rPr>
            </w:pPr>
            <w:r>
              <w:rPr>
                <w:rFonts w:ascii="Times New Roman"/>
              </w:rPr>
              <w:t>鞋类生产（特别是湿法工序）耗水量大，此指标关键</w:t>
            </w:r>
          </w:p>
        </w:tc>
      </w:tr>
      <w:tr w14:paraId="2D30F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841" w:type="dxa"/>
            <w:vMerge w:val="continue"/>
            <w:vAlign w:val="center"/>
          </w:tcPr>
          <w:p w14:paraId="69B4825A">
            <w:pPr>
              <w:pStyle w:val="178"/>
              <w:rPr>
                <w:rFonts w:ascii="Times New Roman"/>
              </w:rPr>
            </w:pPr>
          </w:p>
        </w:tc>
        <w:tc>
          <w:tcPr>
            <w:tcW w:w="1701" w:type="dxa"/>
            <w:vMerge w:val="continue"/>
            <w:vAlign w:val="center"/>
          </w:tcPr>
          <w:p w14:paraId="4CF9A0CB">
            <w:pPr>
              <w:pStyle w:val="178"/>
              <w:rPr>
                <w:rFonts w:ascii="Times New Roman"/>
              </w:rPr>
            </w:pPr>
          </w:p>
        </w:tc>
        <w:tc>
          <w:tcPr>
            <w:tcW w:w="2410" w:type="dxa"/>
            <w:vAlign w:val="center"/>
          </w:tcPr>
          <w:p w14:paraId="1F9A6D61">
            <w:pPr>
              <w:pStyle w:val="178"/>
              <w:jc w:val="both"/>
              <w:rPr>
                <w:rFonts w:ascii="Times New Roman"/>
              </w:rPr>
            </w:pPr>
            <w:r>
              <w:rPr>
                <w:rFonts w:ascii="Times New Roman"/>
              </w:rPr>
              <w:t>E3.3 可持续材料采购与使用比例</w:t>
            </w:r>
          </w:p>
        </w:tc>
        <w:tc>
          <w:tcPr>
            <w:tcW w:w="1275" w:type="dxa"/>
            <w:vAlign w:val="center"/>
          </w:tcPr>
          <w:p w14:paraId="0262EFB8">
            <w:pPr>
              <w:pStyle w:val="178"/>
              <w:rPr>
                <w:rFonts w:ascii="Times New Roman"/>
              </w:rPr>
            </w:pPr>
            <w:r>
              <w:rPr>
                <w:rFonts w:ascii="Times New Roman"/>
              </w:rPr>
              <w:t>定量</w:t>
            </w:r>
          </w:p>
        </w:tc>
        <w:tc>
          <w:tcPr>
            <w:tcW w:w="3107" w:type="dxa"/>
            <w:vAlign w:val="center"/>
          </w:tcPr>
          <w:p w14:paraId="5155B098">
            <w:pPr>
              <w:pStyle w:val="178"/>
              <w:jc w:val="both"/>
              <w:rPr>
                <w:rFonts w:ascii="Times New Roman"/>
              </w:rPr>
            </w:pPr>
            <w:r>
              <w:rPr>
                <w:rFonts w:ascii="Times New Roman"/>
              </w:rPr>
              <w:t>披露可再生材料（有机棉、再生聚酯）、生物基材料（菌丝体、植物基皮革）、</w:t>
            </w:r>
          </w:p>
          <w:p w14:paraId="28931247">
            <w:pPr>
              <w:pStyle w:val="178"/>
              <w:jc w:val="both"/>
              <w:rPr>
                <w:rFonts w:ascii="Times New Roman"/>
              </w:rPr>
            </w:pPr>
            <w:r>
              <w:rPr>
                <w:rFonts w:ascii="Times New Roman"/>
              </w:rPr>
              <w:t>可持续来源皮革等的采购重量占比</w:t>
            </w:r>
          </w:p>
        </w:tc>
      </w:tr>
      <w:tr w14:paraId="6CD3CC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34" w:hRule="atLeast"/>
          <w:jc w:val="center"/>
        </w:trPr>
        <w:tc>
          <w:tcPr>
            <w:tcW w:w="841" w:type="dxa"/>
            <w:vMerge w:val="continue"/>
            <w:vAlign w:val="center"/>
          </w:tcPr>
          <w:p w14:paraId="6251D875">
            <w:pPr>
              <w:pStyle w:val="178"/>
              <w:rPr>
                <w:rFonts w:ascii="Times New Roman"/>
              </w:rPr>
            </w:pPr>
          </w:p>
        </w:tc>
        <w:tc>
          <w:tcPr>
            <w:tcW w:w="1701" w:type="dxa"/>
            <w:vMerge w:val="continue"/>
            <w:vAlign w:val="center"/>
          </w:tcPr>
          <w:p w14:paraId="78E9E548">
            <w:pPr>
              <w:pStyle w:val="178"/>
              <w:rPr>
                <w:rFonts w:ascii="Times New Roman"/>
              </w:rPr>
            </w:pPr>
          </w:p>
        </w:tc>
        <w:tc>
          <w:tcPr>
            <w:tcW w:w="2410" w:type="dxa"/>
            <w:vAlign w:val="center"/>
          </w:tcPr>
          <w:p w14:paraId="400DE0C2">
            <w:pPr>
              <w:pStyle w:val="178"/>
              <w:jc w:val="both"/>
              <w:rPr>
                <w:rFonts w:ascii="Times New Roman"/>
              </w:rPr>
            </w:pPr>
            <w:r>
              <w:rPr>
                <w:rFonts w:ascii="Times New Roman"/>
              </w:rPr>
              <w:t>E3.4 工业固体废物综合利用率</w:t>
            </w:r>
          </w:p>
        </w:tc>
        <w:tc>
          <w:tcPr>
            <w:tcW w:w="1275" w:type="dxa"/>
            <w:vAlign w:val="center"/>
          </w:tcPr>
          <w:p w14:paraId="6F745800">
            <w:pPr>
              <w:pStyle w:val="178"/>
              <w:rPr>
                <w:rFonts w:ascii="Times New Roman"/>
              </w:rPr>
            </w:pPr>
            <w:r>
              <w:rPr>
                <w:rFonts w:ascii="Times New Roman"/>
              </w:rPr>
              <w:t>定量</w:t>
            </w:r>
          </w:p>
        </w:tc>
        <w:tc>
          <w:tcPr>
            <w:tcW w:w="3107" w:type="dxa"/>
            <w:vAlign w:val="center"/>
          </w:tcPr>
          <w:p w14:paraId="5D60FCEC">
            <w:pPr>
              <w:pStyle w:val="178"/>
              <w:jc w:val="both"/>
              <w:rPr>
                <w:rFonts w:ascii="Times New Roman"/>
              </w:rPr>
            </w:pPr>
            <w:r>
              <w:rPr>
                <w:rFonts w:ascii="Times New Roman"/>
              </w:rPr>
              <w:t>披露生产过程中产生的边角料、废包装等一般固废的综合利用（如回收、再利用）率</w:t>
            </w:r>
          </w:p>
        </w:tc>
      </w:tr>
      <w:tr w14:paraId="62C303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841" w:type="dxa"/>
            <w:vMerge w:val="continue"/>
            <w:vAlign w:val="center"/>
          </w:tcPr>
          <w:p w14:paraId="653BDE60">
            <w:pPr>
              <w:pStyle w:val="178"/>
              <w:rPr>
                <w:rFonts w:ascii="Times New Roman"/>
              </w:rPr>
            </w:pPr>
          </w:p>
        </w:tc>
        <w:tc>
          <w:tcPr>
            <w:tcW w:w="1701" w:type="dxa"/>
            <w:vAlign w:val="center"/>
          </w:tcPr>
          <w:p w14:paraId="44CEE423">
            <w:pPr>
              <w:pStyle w:val="178"/>
              <w:rPr>
                <w:rFonts w:ascii="Times New Roman"/>
              </w:rPr>
            </w:pPr>
            <w:r>
              <w:rPr>
                <w:rFonts w:ascii="Times New Roman"/>
              </w:rPr>
              <w:t>E4 生物多样性</w:t>
            </w:r>
          </w:p>
        </w:tc>
        <w:tc>
          <w:tcPr>
            <w:tcW w:w="2410" w:type="dxa"/>
            <w:vAlign w:val="center"/>
          </w:tcPr>
          <w:p w14:paraId="5012F5B2">
            <w:pPr>
              <w:pStyle w:val="178"/>
              <w:jc w:val="both"/>
              <w:rPr>
                <w:rFonts w:ascii="Times New Roman"/>
              </w:rPr>
            </w:pPr>
            <w:r>
              <w:rPr>
                <w:rFonts w:ascii="Times New Roman"/>
              </w:rPr>
              <w:t>E4.1 生物多样性影响评估与保护措施</w:t>
            </w:r>
          </w:p>
        </w:tc>
        <w:tc>
          <w:tcPr>
            <w:tcW w:w="1275" w:type="dxa"/>
            <w:vAlign w:val="center"/>
          </w:tcPr>
          <w:p w14:paraId="0268857C">
            <w:pPr>
              <w:pStyle w:val="178"/>
              <w:rPr>
                <w:rFonts w:ascii="Times New Roman"/>
              </w:rPr>
            </w:pPr>
            <w:r>
              <w:rPr>
                <w:rFonts w:ascii="Times New Roman"/>
              </w:rPr>
              <w:t>定性</w:t>
            </w:r>
          </w:p>
        </w:tc>
        <w:tc>
          <w:tcPr>
            <w:tcW w:w="3107" w:type="dxa"/>
            <w:vAlign w:val="center"/>
          </w:tcPr>
          <w:p w14:paraId="48B0A1F1">
            <w:pPr>
              <w:pStyle w:val="178"/>
              <w:jc w:val="both"/>
              <w:rPr>
                <w:rFonts w:ascii="Times New Roman"/>
              </w:rPr>
            </w:pPr>
            <w:r>
              <w:rPr>
                <w:rFonts w:ascii="Times New Roman"/>
              </w:rPr>
              <w:t>披露原材料（如皮革、橡胶、棕榈油）采购是否对生物多样性产生影响</w:t>
            </w:r>
          </w:p>
          <w:p w14:paraId="7ED59506">
            <w:pPr>
              <w:pStyle w:val="178"/>
              <w:jc w:val="both"/>
              <w:rPr>
                <w:rFonts w:ascii="Times New Roman"/>
              </w:rPr>
            </w:pPr>
            <w:r>
              <w:rPr>
                <w:rFonts w:ascii="Times New Roman"/>
              </w:rPr>
              <w:t>以及采取的规避、减缓或补偿措施</w:t>
            </w:r>
          </w:p>
        </w:tc>
      </w:tr>
      <w:tr w14:paraId="629CA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5" w:hRule="atLeast"/>
          <w:jc w:val="center"/>
        </w:trPr>
        <w:tc>
          <w:tcPr>
            <w:tcW w:w="841" w:type="dxa"/>
            <w:vMerge w:val="restart"/>
            <w:vAlign w:val="center"/>
          </w:tcPr>
          <w:p w14:paraId="0CAB1D67">
            <w:pPr>
              <w:pStyle w:val="178"/>
              <w:rPr>
                <w:rFonts w:ascii="Times New Roman"/>
              </w:rPr>
            </w:pPr>
            <w:r>
              <w:rPr>
                <w:rFonts w:ascii="Times New Roman"/>
              </w:rPr>
              <w:t>S 社会</w:t>
            </w:r>
          </w:p>
        </w:tc>
        <w:tc>
          <w:tcPr>
            <w:tcW w:w="1701" w:type="dxa"/>
            <w:vMerge w:val="restart"/>
            <w:vAlign w:val="center"/>
          </w:tcPr>
          <w:p w14:paraId="1B93B8B6">
            <w:pPr>
              <w:pStyle w:val="178"/>
              <w:rPr>
                <w:rFonts w:ascii="Times New Roman"/>
              </w:rPr>
            </w:pPr>
            <w:r>
              <w:rPr>
                <w:rFonts w:ascii="Times New Roman"/>
              </w:rPr>
              <w:t>S1 员工权益</w:t>
            </w:r>
          </w:p>
        </w:tc>
        <w:tc>
          <w:tcPr>
            <w:tcW w:w="2410" w:type="dxa"/>
            <w:vAlign w:val="center"/>
          </w:tcPr>
          <w:p w14:paraId="0D21CBC0">
            <w:pPr>
              <w:pStyle w:val="178"/>
              <w:jc w:val="both"/>
              <w:rPr>
                <w:rFonts w:ascii="Times New Roman"/>
              </w:rPr>
            </w:pPr>
            <w:r>
              <w:rPr>
                <w:rFonts w:ascii="Times New Roman"/>
              </w:rPr>
              <w:t>S1.1 员工伤亡事故率</w:t>
            </w:r>
          </w:p>
        </w:tc>
        <w:tc>
          <w:tcPr>
            <w:tcW w:w="1275" w:type="dxa"/>
            <w:vAlign w:val="center"/>
          </w:tcPr>
          <w:p w14:paraId="64924FFA">
            <w:pPr>
              <w:pStyle w:val="178"/>
              <w:rPr>
                <w:rFonts w:ascii="Times New Roman"/>
              </w:rPr>
            </w:pPr>
            <w:r>
              <w:rPr>
                <w:rFonts w:ascii="Times New Roman"/>
              </w:rPr>
              <w:t>定量</w:t>
            </w:r>
          </w:p>
        </w:tc>
        <w:tc>
          <w:tcPr>
            <w:tcW w:w="3107" w:type="dxa"/>
            <w:vAlign w:val="center"/>
          </w:tcPr>
          <w:p w14:paraId="5C1311BF">
            <w:pPr>
              <w:pStyle w:val="178"/>
              <w:jc w:val="both"/>
              <w:rPr>
                <w:rFonts w:ascii="Times New Roman"/>
              </w:rPr>
            </w:pPr>
            <w:r>
              <w:rPr>
                <w:rFonts w:ascii="Times New Roman"/>
              </w:rPr>
              <w:t>披露可记录工伤事故率、误工工伤事故率等国际通行指标，反映职场健康与安全水平</w:t>
            </w:r>
          </w:p>
        </w:tc>
      </w:tr>
      <w:tr w14:paraId="2C977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841" w:type="dxa"/>
            <w:vMerge w:val="continue"/>
            <w:vAlign w:val="center"/>
          </w:tcPr>
          <w:p w14:paraId="6FEE9B6C">
            <w:pPr>
              <w:pStyle w:val="178"/>
              <w:rPr>
                <w:rFonts w:ascii="Times New Roman"/>
              </w:rPr>
            </w:pPr>
          </w:p>
        </w:tc>
        <w:tc>
          <w:tcPr>
            <w:tcW w:w="1701" w:type="dxa"/>
            <w:vMerge w:val="continue"/>
            <w:vAlign w:val="center"/>
          </w:tcPr>
          <w:p w14:paraId="2FCD7DEA">
            <w:pPr>
              <w:pStyle w:val="178"/>
              <w:rPr>
                <w:rFonts w:ascii="Times New Roman"/>
              </w:rPr>
            </w:pPr>
          </w:p>
        </w:tc>
        <w:tc>
          <w:tcPr>
            <w:tcW w:w="2410" w:type="dxa"/>
            <w:vAlign w:val="center"/>
          </w:tcPr>
          <w:p w14:paraId="79644143">
            <w:pPr>
              <w:pStyle w:val="178"/>
              <w:jc w:val="both"/>
              <w:rPr>
                <w:rFonts w:ascii="Times New Roman"/>
              </w:rPr>
            </w:pPr>
            <w:r>
              <w:rPr>
                <w:rFonts w:ascii="Times New Roman"/>
              </w:rPr>
              <w:t>S1.2 员工培训覆盖率与人均培训时长</w:t>
            </w:r>
          </w:p>
        </w:tc>
        <w:tc>
          <w:tcPr>
            <w:tcW w:w="1275" w:type="dxa"/>
            <w:vAlign w:val="center"/>
          </w:tcPr>
          <w:p w14:paraId="16289D94">
            <w:pPr>
              <w:pStyle w:val="178"/>
              <w:rPr>
                <w:rFonts w:ascii="Times New Roman"/>
              </w:rPr>
            </w:pPr>
            <w:r>
              <w:rPr>
                <w:rFonts w:ascii="Times New Roman"/>
              </w:rPr>
              <w:t>定量</w:t>
            </w:r>
          </w:p>
        </w:tc>
        <w:tc>
          <w:tcPr>
            <w:tcW w:w="3107" w:type="dxa"/>
            <w:vAlign w:val="center"/>
          </w:tcPr>
          <w:p w14:paraId="2F320285">
            <w:pPr>
              <w:pStyle w:val="178"/>
              <w:jc w:val="both"/>
              <w:rPr>
                <w:rFonts w:ascii="Times New Roman"/>
              </w:rPr>
            </w:pPr>
            <w:r>
              <w:rPr>
                <w:rFonts w:ascii="Times New Roman"/>
              </w:rPr>
              <w:t>披露年度内接受培训的员工比例及员工平均接受培训的小时数，反映对员工发展的投入</w:t>
            </w:r>
          </w:p>
        </w:tc>
      </w:tr>
      <w:tr w14:paraId="7B15A9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3" w:hRule="atLeast"/>
          <w:jc w:val="center"/>
        </w:trPr>
        <w:tc>
          <w:tcPr>
            <w:tcW w:w="841" w:type="dxa"/>
            <w:vMerge w:val="continue"/>
            <w:vAlign w:val="center"/>
          </w:tcPr>
          <w:p w14:paraId="2D58DB0F">
            <w:pPr>
              <w:pStyle w:val="178"/>
              <w:rPr>
                <w:rFonts w:ascii="Times New Roman"/>
              </w:rPr>
            </w:pPr>
          </w:p>
        </w:tc>
        <w:tc>
          <w:tcPr>
            <w:tcW w:w="1701" w:type="dxa"/>
            <w:vMerge w:val="continue"/>
            <w:vAlign w:val="center"/>
          </w:tcPr>
          <w:p w14:paraId="44D8A0A5">
            <w:pPr>
              <w:pStyle w:val="178"/>
              <w:rPr>
                <w:rFonts w:ascii="Times New Roman"/>
              </w:rPr>
            </w:pPr>
          </w:p>
        </w:tc>
        <w:tc>
          <w:tcPr>
            <w:tcW w:w="2410" w:type="dxa"/>
            <w:vAlign w:val="center"/>
          </w:tcPr>
          <w:p w14:paraId="4597BDBF">
            <w:pPr>
              <w:pStyle w:val="178"/>
              <w:jc w:val="both"/>
              <w:rPr>
                <w:rFonts w:ascii="Times New Roman"/>
              </w:rPr>
            </w:pPr>
            <w:r>
              <w:rPr>
                <w:rFonts w:ascii="Times New Roman"/>
              </w:rPr>
              <w:t>S1.3 员工满意度与流失率</w:t>
            </w:r>
          </w:p>
        </w:tc>
        <w:tc>
          <w:tcPr>
            <w:tcW w:w="1275" w:type="dxa"/>
            <w:vAlign w:val="center"/>
          </w:tcPr>
          <w:p w14:paraId="69572020">
            <w:pPr>
              <w:pStyle w:val="178"/>
              <w:rPr>
                <w:rFonts w:ascii="Times New Roman"/>
              </w:rPr>
            </w:pPr>
            <w:r>
              <w:rPr>
                <w:rFonts w:ascii="Times New Roman"/>
              </w:rPr>
              <w:t>定量</w:t>
            </w:r>
          </w:p>
        </w:tc>
        <w:tc>
          <w:tcPr>
            <w:tcW w:w="3107" w:type="dxa"/>
            <w:vAlign w:val="center"/>
          </w:tcPr>
          <w:p w14:paraId="4E78605D">
            <w:pPr>
              <w:pStyle w:val="178"/>
              <w:jc w:val="both"/>
              <w:rPr>
                <w:rFonts w:ascii="Times New Roman"/>
              </w:rPr>
            </w:pPr>
            <w:r>
              <w:rPr>
                <w:rFonts w:ascii="Times New Roman"/>
              </w:rPr>
              <w:t>通过年度敬业度或满意度调查得分，以及年度员工自愿离职率来衡量员工关系健康度</w:t>
            </w:r>
          </w:p>
        </w:tc>
      </w:tr>
      <w:tr w14:paraId="72DEE0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841" w:type="dxa"/>
            <w:vMerge w:val="continue"/>
            <w:vAlign w:val="center"/>
          </w:tcPr>
          <w:p w14:paraId="4F5F56E8">
            <w:pPr>
              <w:pStyle w:val="178"/>
              <w:rPr>
                <w:rFonts w:ascii="Times New Roman"/>
              </w:rPr>
            </w:pPr>
          </w:p>
        </w:tc>
        <w:tc>
          <w:tcPr>
            <w:tcW w:w="1701" w:type="dxa"/>
            <w:vMerge w:val="continue"/>
            <w:vAlign w:val="center"/>
          </w:tcPr>
          <w:p w14:paraId="1795E9FC">
            <w:pPr>
              <w:pStyle w:val="178"/>
              <w:rPr>
                <w:rFonts w:ascii="Times New Roman"/>
              </w:rPr>
            </w:pPr>
          </w:p>
        </w:tc>
        <w:tc>
          <w:tcPr>
            <w:tcW w:w="2410" w:type="dxa"/>
            <w:vAlign w:val="center"/>
          </w:tcPr>
          <w:p w14:paraId="6D3E2B01">
            <w:pPr>
              <w:pStyle w:val="178"/>
              <w:jc w:val="both"/>
              <w:rPr>
                <w:rFonts w:ascii="Times New Roman"/>
              </w:rPr>
            </w:pPr>
            <w:r>
              <w:rPr>
                <w:rFonts w:ascii="Times New Roman"/>
              </w:rPr>
              <w:t>S1.4 反歧视与反骚扰机制</w:t>
            </w:r>
          </w:p>
        </w:tc>
        <w:tc>
          <w:tcPr>
            <w:tcW w:w="1275" w:type="dxa"/>
            <w:vAlign w:val="center"/>
          </w:tcPr>
          <w:p w14:paraId="0504C9FE">
            <w:pPr>
              <w:pStyle w:val="178"/>
              <w:rPr>
                <w:rFonts w:ascii="Times New Roman"/>
              </w:rPr>
            </w:pPr>
            <w:r>
              <w:rPr>
                <w:rFonts w:ascii="Times New Roman"/>
              </w:rPr>
              <w:t>定性</w:t>
            </w:r>
          </w:p>
        </w:tc>
        <w:tc>
          <w:tcPr>
            <w:tcW w:w="3107" w:type="dxa"/>
            <w:vAlign w:val="center"/>
          </w:tcPr>
          <w:p w14:paraId="23C5B5DF">
            <w:pPr>
              <w:pStyle w:val="178"/>
              <w:jc w:val="both"/>
              <w:rPr>
                <w:rFonts w:ascii="Times New Roman"/>
              </w:rPr>
            </w:pPr>
            <w:r>
              <w:rPr>
                <w:rFonts w:ascii="Times New Roman"/>
              </w:rPr>
              <w:t>披露是否建立并有效运行防止职场歧视、骚扰和虐待的政策及申诉机制</w:t>
            </w:r>
          </w:p>
        </w:tc>
      </w:tr>
      <w:tr w14:paraId="7BF310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7" w:hRule="atLeast"/>
          <w:jc w:val="center"/>
        </w:trPr>
        <w:tc>
          <w:tcPr>
            <w:tcW w:w="841" w:type="dxa"/>
            <w:vMerge w:val="continue"/>
            <w:vAlign w:val="center"/>
          </w:tcPr>
          <w:p w14:paraId="4F9A814A">
            <w:pPr>
              <w:pStyle w:val="178"/>
              <w:rPr>
                <w:rFonts w:ascii="Times New Roman"/>
              </w:rPr>
            </w:pPr>
          </w:p>
        </w:tc>
        <w:tc>
          <w:tcPr>
            <w:tcW w:w="1701" w:type="dxa"/>
            <w:vMerge w:val="restart"/>
            <w:vAlign w:val="center"/>
          </w:tcPr>
          <w:p w14:paraId="755EDF67">
            <w:pPr>
              <w:pStyle w:val="178"/>
              <w:rPr>
                <w:rFonts w:ascii="Times New Roman"/>
              </w:rPr>
            </w:pPr>
            <w:r>
              <w:rPr>
                <w:rFonts w:ascii="Times New Roman"/>
              </w:rPr>
              <w:t>S2 供应链管理</w:t>
            </w:r>
          </w:p>
        </w:tc>
        <w:tc>
          <w:tcPr>
            <w:tcW w:w="2410" w:type="dxa"/>
            <w:vAlign w:val="center"/>
          </w:tcPr>
          <w:p w14:paraId="53AD655B">
            <w:pPr>
              <w:pStyle w:val="178"/>
              <w:jc w:val="both"/>
              <w:rPr>
                <w:rFonts w:ascii="Times New Roman"/>
              </w:rPr>
            </w:pPr>
            <w:r>
              <w:rPr>
                <w:rFonts w:ascii="Times New Roman"/>
              </w:rPr>
              <w:t>S2.1 供应商行为准则覆盖率与审核率</w:t>
            </w:r>
          </w:p>
        </w:tc>
        <w:tc>
          <w:tcPr>
            <w:tcW w:w="1275" w:type="dxa"/>
            <w:vAlign w:val="center"/>
          </w:tcPr>
          <w:p w14:paraId="3E164679">
            <w:pPr>
              <w:pStyle w:val="178"/>
              <w:rPr>
                <w:rFonts w:ascii="Times New Roman"/>
              </w:rPr>
            </w:pPr>
            <w:r>
              <w:rPr>
                <w:rFonts w:ascii="Times New Roman"/>
              </w:rPr>
              <w:t>定量</w:t>
            </w:r>
          </w:p>
        </w:tc>
        <w:tc>
          <w:tcPr>
            <w:tcW w:w="3107" w:type="dxa"/>
            <w:vAlign w:val="center"/>
          </w:tcPr>
          <w:p w14:paraId="779A77CE">
            <w:pPr>
              <w:pStyle w:val="178"/>
              <w:jc w:val="both"/>
              <w:rPr>
                <w:rFonts w:ascii="Times New Roman"/>
              </w:rPr>
            </w:pPr>
            <w:r>
              <w:rPr>
                <w:rFonts w:ascii="Times New Roman"/>
              </w:rPr>
              <w:t>披露签署并承诺遵守ESG行为准则（含劳工、EHS、道德标准）的供应商比例，以及进行现场ESG审核的供应商比例</w:t>
            </w:r>
          </w:p>
        </w:tc>
      </w:tr>
      <w:tr w14:paraId="26479B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83" w:hRule="atLeast"/>
          <w:jc w:val="center"/>
        </w:trPr>
        <w:tc>
          <w:tcPr>
            <w:tcW w:w="841" w:type="dxa"/>
            <w:vMerge w:val="continue"/>
            <w:vAlign w:val="center"/>
          </w:tcPr>
          <w:p w14:paraId="40408340">
            <w:pPr>
              <w:pStyle w:val="178"/>
              <w:rPr>
                <w:rFonts w:ascii="Times New Roman"/>
              </w:rPr>
            </w:pPr>
          </w:p>
        </w:tc>
        <w:tc>
          <w:tcPr>
            <w:tcW w:w="1701" w:type="dxa"/>
            <w:vMerge w:val="continue"/>
            <w:vAlign w:val="center"/>
          </w:tcPr>
          <w:p w14:paraId="05F80146">
            <w:pPr>
              <w:pStyle w:val="178"/>
              <w:rPr>
                <w:rFonts w:ascii="Times New Roman"/>
              </w:rPr>
            </w:pPr>
          </w:p>
        </w:tc>
        <w:tc>
          <w:tcPr>
            <w:tcW w:w="2410" w:type="dxa"/>
            <w:vAlign w:val="center"/>
          </w:tcPr>
          <w:p w14:paraId="165597CD">
            <w:pPr>
              <w:pStyle w:val="178"/>
              <w:jc w:val="both"/>
              <w:rPr>
                <w:rFonts w:ascii="Times New Roman"/>
              </w:rPr>
            </w:pPr>
            <w:r>
              <w:rPr>
                <w:rFonts w:ascii="Times New Roman"/>
              </w:rPr>
              <w:t>S2.2 供应商违规纠正情况</w:t>
            </w:r>
          </w:p>
        </w:tc>
        <w:tc>
          <w:tcPr>
            <w:tcW w:w="1275" w:type="dxa"/>
            <w:vAlign w:val="center"/>
          </w:tcPr>
          <w:p w14:paraId="6CAD3DE1">
            <w:pPr>
              <w:pStyle w:val="178"/>
              <w:rPr>
                <w:rFonts w:ascii="Times New Roman"/>
              </w:rPr>
            </w:pPr>
            <w:r>
              <w:rPr>
                <w:rFonts w:ascii="Times New Roman"/>
              </w:rPr>
              <w:t>定性/定量</w:t>
            </w:r>
          </w:p>
        </w:tc>
        <w:tc>
          <w:tcPr>
            <w:tcW w:w="3107" w:type="dxa"/>
            <w:vAlign w:val="center"/>
          </w:tcPr>
          <w:p w14:paraId="4D2BD999">
            <w:pPr>
              <w:pStyle w:val="178"/>
              <w:jc w:val="both"/>
              <w:rPr>
                <w:rFonts w:ascii="Times New Roman"/>
              </w:rPr>
            </w:pPr>
            <w:r>
              <w:rPr>
                <w:rFonts w:ascii="Times New Roman"/>
              </w:rPr>
              <w:t>披露审核中发现的主要问题类型（如工时、薪酬、安全）、整改要求及纠正行动完成率</w:t>
            </w:r>
          </w:p>
        </w:tc>
      </w:tr>
      <w:tr w14:paraId="497B51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841" w:type="dxa"/>
            <w:vMerge w:val="continue"/>
            <w:vAlign w:val="center"/>
          </w:tcPr>
          <w:p w14:paraId="6D5EE25B">
            <w:pPr>
              <w:pStyle w:val="178"/>
              <w:rPr>
                <w:rFonts w:ascii="Times New Roman"/>
              </w:rPr>
            </w:pPr>
          </w:p>
        </w:tc>
        <w:tc>
          <w:tcPr>
            <w:tcW w:w="1701" w:type="dxa"/>
            <w:vMerge w:val="continue"/>
            <w:vAlign w:val="center"/>
          </w:tcPr>
          <w:p w14:paraId="6C1EB4A4">
            <w:pPr>
              <w:pStyle w:val="178"/>
              <w:rPr>
                <w:rFonts w:ascii="Times New Roman"/>
              </w:rPr>
            </w:pPr>
          </w:p>
        </w:tc>
        <w:tc>
          <w:tcPr>
            <w:tcW w:w="2410" w:type="dxa"/>
            <w:vAlign w:val="center"/>
          </w:tcPr>
          <w:p w14:paraId="7104F3E2">
            <w:pPr>
              <w:pStyle w:val="178"/>
              <w:jc w:val="both"/>
              <w:rPr>
                <w:rFonts w:ascii="Times New Roman"/>
              </w:rPr>
            </w:pPr>
            <w:r>
              <w:rPr>
                <w:rFonts w:ascii="Times New Roman"/>
              </w:rPr>
              <w:t>S2.3 供应链本土化采购比例</w:t>
            </w:r>
          </w:p>
        </w:tc>
        <w:tc>
          <w:tcPr>
            <w:tcW w:w="1275" w:type="dxa"/>
            <w:vAlign w:val="center"/>
          </w:tcPr>
          <w:p w14:paraId="660D0C20">
            <w:pPr>
              <w:pStyle w:val="178"/>
              <w:rPr>
                <w:rFonts w:ascii="Times New Roman"/>
              </w:rPr>
            </w:pPr>
            <w:r>
              <w:rPr>
                <w:rFonts w:ascii="Times New Roman"/>
              </w:rPr>
              <w:t>定量</w:t>
            </w:r>
          </w:p>
        </w:tc>
        <w:tc>
          <w:tcPr>
            <w:tcW w:w="3107" w:type="dxa"/>
            <w:vAlign w:val="center"/>
          </w:tcPr>
          <w:p w14:paraId="1D971E8A">
            <w:pPr>
              <w:pStyle w:val="178"/>
              <w:jc w:val="both"/>
              <w:rPr>
                <w:rFonts w:ascii="Times New Roman"/>
              </w:rPr>
            </w:pPr>
            <w:r>
              <w:rPr>
                <w:rFonts w:ascii="Times New Roman"/>
              </w:rPr>
              <w:t>披露从本地（如工厂所在省/国）供应商采购原材料和服务的比例，促进本地经济发展</w:t>
            </w:r>
          </w:p>
        </w:tc>
      </w:tr>
      <w:tr w14:paraId="075E91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841" w:type="dxa"/>
            <w:vMerge w:val="continue"/>
            <w:vAlign w:val="center"/>
          </w:tcPr>
          <w:p w14:paraId="2A4E2F15">
            <w:pPr>
              <w:pStyle w:val="178"/>
              <w:rPr>
                <w:rFonts w:ascii="Times New Roman"/>
              </w:rPr>
            </w:pPr>
          </w:p>
        </w:tc>
        <w:tc>
          <w:tcPr>
            <w:tcW w:w="1701" w:type="dxa"/>
            <w:vMerge w:val="restart"/>
            <w:vAlign w:val="center"/>
          </w:tcPr>
          <w:p w14:paraId="14710821">
            <w:pPr>
              <w:pStyle w:val="178"/>
              <w:rPr>
                <w:rFonts w:ascii="Times New Roman"/>
              </w:rPr>
            </w:pPr>
            <w:r>
              <w:rPr>
                <w:rFonts w:ascii="Times New Roman"/>
              </w:rPr>
              <w:t>S3 产品责任</w:t>
            </w:r>
          </w:p>
        </w:tc>
        <w:tc>
          <w:tcPr>
            <w:tcW w:w="2410" w:type="dxa"/>
            <w:vAlign w:val="center"/>
          </w:tcPr>
          <w:p w14:paraId="4F51A91D">
            <w:pPr>
              <w:pStyle w:val="178"/>
              <w:jc w:val="both"/>
              <w:rPr>
                <w:rFonts w:ascii="Times New Roman"/>
              </w:rPr>
            </w:pPr>
            <w:r>
              <w:rPr>
                <w:rFonts w:ascii="Times New Roman"/>
              </w:rPr>
              <w:t>S3.1 产品质量合格率与召回事件</w:t>
            </w:r>
          </w:p>
        </w:tc>
        <w:tc>
          <w:tcPr>
            <w:tcW w:w="1275" w:type="dxa"/>
            <w:vAlign w:val="center"/>
          </w:tcPr>
          <w:p w14:paraId="0AD1902F">
            <w:pPr>
              <w:pStyle w:val="178"/>
              <w:rPr>
                <w:rFonts w:ascii="Times New Roman"/>
              </w:rPr>
            </w:pPr>
            <w:r>
              <w:rPr>
                <w:rFonts w:ascii="Times New Roman"/>
              </w:rPr>
              <w:t>定量</w:t>
            </w:r>
          </w:p>
        </w:tc>
        <w:tc>
          <w:tcPr>
            <w:tcW w:w="3107" w:type="dxa"/>
            <w:vAlign w:val="center"/>
          </w:tcPr>
          <w:p w14:paraId="24951BF7">
            <w:pPr>
              <w:pStyle w:val="178"/>
              <w:jc w:val="both"/>
              <w:rPr>
                <w:rFonts w:ascii="Times New Roman"/>
              </w:rPr>
            </w:pPr>
            <w:r>
              <w:rPr>
                <w:rFonts w:ascii="Times New Roman"/>
              </w:rPr>
              <w:t>披露出厂产品抽检合格率，以及因质量或安全问题导致的产品召回次数和数量</w:t>
            </w:r>
          </w:p>
        </w:tc>
      </w:tr>
      <w:tr w14:paraId="3A1CE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841" w:type="dxa"/>
            <w:vMerge w:val="continue"/>
            <w:vAlign w:val="center"/>
          </w:tcPr>
          <w:p w14:paraId="3E60D4C6">
            <w:pPr>
              <w:pStyle w:val="178"/>
              <w:rPr>
                <w:rFonts w:ascii="Times New Roman"/>
              </w:rPr>
            </w:pPr>
          </w:p>
        </w:tc>
        <w:tc>
          <w:tcPr>
            <w:tcW w:w="1701" w:type="dxa"/>
            <w:vMerge w:val="continue"/>
            <w:vAlign w:val="center"/>
          </w:tcPr>
          <w:p w14:paraId="23CF9349">
            <w:pPr>
              <w:pStyle w:val="178"/>
              <w:rPr>
                <w:rFonts w:ascii="Times New Roman"/>
              </w:rPr>
            </w:pPr>
          </w:p>
        </w:tc>
        <w:tc>
          <w:tcPr>
            <w:tcW w:w="2410" w:type="dxa"/>
            <w:vAlign w:val="center"/>
          </w:tcPr>
          <w:p w14:paraId="6D522BD0">
            <w:pPr>
              <w:pStyle w:val="178"/>
              <w:jc w:val="both"/>
              <w:rPr>
                <w:rFonts w:ascii="Times New Roman"/>
              </w:rPr>
            </w:pPr>
            <w:r>
              <w:rPr>
                <w:rFonts w:ascii="Times New Roman"/>
              </w:rPr>
              <w:t>S3.2 产品中有害化学品限制与使用</w:t>
            </w:r>
          </w:p>
        </w:tc>
        <w:tc>
          <w:tcPr>
            <w:tcW w:w="1275" w:type="dxa"/>
            <w:vAlign w:val="center"/>
          </w:tcPr>
          <w:p w14:paraId="0467B1AB">
            <w:pPr>
              <w:pStyle w:val="178"/>
              <w:rPr>
                <w:rFonts w:ascii="Times New Roman"/>
              </w:rPr>
            </w:pPr>
            <w:r>
              <w:rPr>
                <w:rFonts w:ascii="Times New Roman"/>
              </w:rPr>
              <w:t>定性/定量</w:t>
            </w:r>
          </w:p>
        </w:tc>
        <w:tc>
          <w:tcPr>
            <w:tcW w:w="3107" w:type="dxa"/>
            <w:vAlign w:val="center"/>
          </w:tcPr>
          <w:p w14:paraId="19179E34">
            <w:pPr>
              <w:pStyle w:val="178"/>
              <w:jc w:val="both"/>
              <w:rPr>
                <w:rFonts w:ascii="Times New Roman"/>
              </w:rPr>
            </w:pPr>
            <w:r>
              <w:rPr>
                <w:rFonts w:ascii="Times New Roman"/>
              </w:rPr>
              <w:t>披露产品符合国际有害化学品零排放标准或自有限制物质清单的情况，以及绿色化学品替代进程</w:t>
            </w:r>
          </w:p>
        </w:tc>
      </w:tr>
      <w:tr w14:paraId="300D4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841" w:type="dxa"/>
            <w:vMerge w:val="continue"/>
            <w:vAlign w:val="center"/>
          </w:tcPr>
          <w:p w14:paraId="7061F76C">
            <w:pPr>
              <w:pStyle w:val="178"/>
              <w:rPr>
                <w:rFonts w:ascii="Times New Roman"/>
              </w:rPr>
            </w:pPr>
          </w:p>
        </w:tc>
        <w:tc>
          <w:tcPr>
            <w:tcW w:w="1701" w:type="dxa"/>
            <w:vMerge w:val="continue"/>
            <w:vAlign w:val="center"/>
          </w:tcPr>
          <w:p w14:paraId="795DE830">
            <w:pPr>
              <w:pStyle w:val="178"/>
              <w:rPr>
                <w:rFonts w:ascii="Times New Roman"/>
              </w:rPr>
            </w:pPr>
          </w:p>
        </w:tc>
        <w:tc>
          <w:tcPr>
            <w:tcW w:w="2410" w:type="dxa"/>
            <w:vAlign w:val="center"/>
          </w:tcPr>
          <w:p w14:paraId="22A16051">
            <w:pPr>
              <w:pStyle w:val="178"/>
              <w:jc w:val="both"/>
              <w:rPr>
                <w:rFonts w:ascii="Times New Roman"/>
              </w:rPr>
            </w:pPr>
            <w:r>
              <w:rPr>
                <w:rFonts w:ascii="Times New Roman"/>
              </w:rPr>
              <w:t>S3.3 消费者投诉处理及时率与满意度</w:t>
            </w:r>
          </w:p>
        </w:tc>
        <w:tc>
          <w:tcPr>
            <w:tcW w:w="1275" w:type="dxa"/>
            <w:vAlign w:val="center"/>
          </w:tcPr>
          <w:p w14:paraId="23F8C60A">
            <w:pPr>
              <w:pStyle w:val="178"/>
              <w:rPr>
                <w:rFonts w:ascii="Times New Roman"/>
              </w:rPr>
            </w:pPr>
            <w:r>
              <w:rPr>
                <w:rFonts w:ascii="Times New Roman"/>
              </w:rPr>
              <w:t>定量</w:t>
            </w:r>
          </w:p>
        </w:tc>
        <w:tc>
          <w:tcPr>
            <w:tcW w:w="3107" w:type="dxa"/>
            <w:vAlign w:val="center"/>
          </w:tcPr>
          <w:p w14:paraId="6CD6D80D">
            <w:pPr>
              <w:pStyle w:val="178"/>
              <w:jc w:val="both"/>
              <w:rPr>
                <w:rFonts w:ascii="Times New Roman"/>
              </w:rPr>
            </w:pPr>
            <w:r>
              <w:rPr>
                <w:rFonts w:ascii="Times New Roman"/>
              </w:rPr>
              <w:t>披露客户投诉数量</w:t>
            </w:r>
          </w:p>
          <w:p w14:paraId="7F486F83">
            <w:pPr>
              <w:pStyle w:val="178"/>
              <w:jc w:val="both"/>
              <w:rPr>
                <w:rFonts w:ascii="Times New Roman"/>
              </w:rPr>
            </w:pPr>
            <w:r>
              <w:rPr>
                <w:rFonts w:ascii="Times New Roman"/>
              </w:rPr>
              <w:t>主要投诉类型</w:t>
            </w:r>
          </w:p>
          <w:p w14:paraId="4A604289">
            <w:pPr>
              <w:pStyle w:val="178"/>
              <w:jc w:val="both"/>
              <w:rPr>
                <w:rFonts w:ascii="Times New Roman"/>
              </w:rPr>
            </w:pPr>
            <w:r>
              <w:rPr>
                <w:rFonts w:ascii="Times New Roman"/>
              </w:rPr>
              <w:t>在规定时间内回复并解决的比例</w:t>
            </w:r>
          </w:p>
          <w:p w14:paraId="19D23378">
            <w:pPr>
              <w:pStyle w:val="178"/>
              <w:jc w:val="both"/>
              <w:rPr>
                <w:rFonts w:ascii="Times New Roman"/>
              </w:rPr>
            </w:pPr>
            <w:r>
              <w:rPr>
                <w:rFonts w:ascii="Times New Roman"/>
              </w:rPr>
              <w:t>客户满意度调查结果</w:t>
            </w:r>
          </w:p>
        </w:tc>
      </w:tr>
      <w:tr w14:paraId="0D91D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841" w:type="dxa"/>
            <w:vMerge w:val="continue"/>
            <w:vAlign w:val="center"/>
          </w:tcPr>
          <w:p w14:paraId="0A3C5280">
            <w:pPr>
              <w:pStyle w:val="178"/>
              <w:rPr>
                <w:rFonts w:ascii="Times New Roman"/>
              </w:rPr>
            </w:pPr>
          </w:p>
        </w:tc>
        <w:tc>
          <w:tcPr>
            <w:tcW w:w="1701" w:type="dxa"/>
            <w:vMerge w:val="restart"/>
            <w:vAlign w:val="center"/>
          </w:tcPr>
          <w:p w14:paraId="4735A588">
            <w:pPr>
              <w:pStyle w:val="178"/>
              <w:rPr>
                <w:rFonts w:ascii="Times New Roman"/>
              </w:rPr>
            </w:pPr>
            <w:r>
              <w:rPr>
                <w:rFonts w:ascii="Times New Roman"/>
              </w:rPr>
              <w:t>S4 社区参与</w:t>
            </w:r>
          </w:p>
        </w:tc>
        <w:tc>
          <w:tcPr>
            <w:tcW w:w="2410" w:type="dxa"/>
            <w:vAlign w:val="center"/>
          </w:tcPr>
          <w:p w14:paraId="701C329D">
            <w:pPr>
              <w:pStyle w:val="178"/>
              <w:jc w:val="both"/>
              <w:rPr>
                <w:rFonts w:ascii="Times New Roman"/>
              </w:rPr>
            </w:pPr>
            <w:r>
              <w:rPr>
                <w:rFonts w:ascii="Times New Roman"/>
              </w:rPr>
              <w:t>S4.1 社区投入与公益贡献</w:t>
            </w:r>
          </w:p>
        </w:tc>
        <w:tc>
          <w:tcPr>
            <w:tcW w:w="1275" w:type="dxa"/>
            <w:vAlign w:val="center"/>
          </w:tcPr>
          <w:p w14:paraId="04CE9392">
            <w:pPr>
              <w:pStyle w:val="178"/>
              <w:rPr>
                <w:rFonts w:ascii="Times New Roman"/>
              </w:rPr>
            </w:pPr>
            <w:r>
              <w:rPr>
                <w:rFonts w:ascii="Times New Roman"/>
              </w:rPr>
              <w:t>定量/定性</w:t>
            </w:r>
          </w:p>
        </w:tc>
        <w:tc>
          <w:tcPr>
            <w:tcW w:w="3107" w:type="dxa"/>
            <w:vAlign w:val="center"/>
          </w:tcPr>
          <w:p w14:paraId="1D56AABC">
            <w:pPr>
              <w:pStyle w:val="178"/>
              <w:jc w:val="both"/>
              <w:rPr>
                <w:rFonts w:ascii="Times New Roman"/>
              </w:rPr>
            </w:pPr>
            <w:r>
              <w:rPr>
                <w:rFonts w:ascii="Times New Roman"/>
              </w:rPr>
              <w:t>披露在工厂所在社区开展的公益项目</w:t>
            </w:r>
          </w:p>
          <w:p w14:paraId="45DCFB37">
            <w:pPr>
              <w:pStyle w:val="178"/>
              <w:jc w:val="both"/>
              <w:rPr>
                <w:rFonts w:ascii="Times New Roman"/>
              </w:rPr>
            </w:pPr>
            <w:r>
              <w:rPr>
                <w:rFonts w:ascii="Times New Roman"/>
              </w:rPr>
              <w:t>捐赠金额</w:t>
            </w:r>
          </w:p>
          <w:p w14:paraId="03FFF620">
            <w:pPr>
              <w:pStyle w:val="178"/>
              <w:jc w:val="both"/>
              <w:rPr>
                <w:rFonts w:ascii="Times New Roman"/>
              </w:rPr>
            </w:pPr>
            <w:r>
              <w:rPr>
                <w:rFonts w:ascii="Times New Roman"/>
              </w:rPr>
              <w:t>员工志愿者服务时间及其社会效益</w:t>
            </w:r>
          </w:p>
        </w:tc>
      </w:tr>
      <w:tr w14:paraId="10C9C6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841" w:type="dxa"/>
            <w:vMerge w:val="continue"/>
            <w:vAlign w:val="center"/>
          </w:tcPr>
          <w:p w14:paraId="371BA2C1">
            <w:pPr>
              <w:pStyle w:val="178"/>
              <w:rPr>
                <w:rFonts w:ascii="Times New Roman"/>
              </w:rPr>
            </w:pPr>
          </w:p>
        </w:tc>
        <w:tc>
          <w:tcPr>
            <w:tcW w:w="1701" w:type="dxa"/>
            <w:vMerge w:val="continue"/>
            <w:vAlign w:val="center"/>
          </w:tcPr>
          <w:p w14:paraId="3A3F92D7">
            <w:pPr>
              <w:pStyle w:val="178"/>
              <w:rPr>
                <w:rFonts w:ascii="Times New Roman"/>
              </w:rPr>
            </w:pPr>
          </w:p>
        </w:tc>
        <w:tc>
          <w:tcPr>
            <w:tcW w:w="2410" w:type="dxa"/>
            <w:vAlign w:val="center"/>
          </w:tcPr>
          <w:p w14:paraId="33F12769">
            <w:pPr>
              <w:pStyle w:val="178"/>
              <w:jc w:val="both"/>
              <w:rPr>
                <w:rFonts w:ascii="Times New Roman"/>
              </w:rPr>
            </w:pPr>
            <w:r>
              <w:rPr>
                <w:rFonts w:ascii="Times New Roman"/>
              </w:rPr>
              <w:t>S4.2 重大运营活动对社区的影响评估</w:t>
            </w:r>
          </w:p>
        </w:tc>
        <w:tc>
          <w:tcPr>
            <w:tcW w:w="1275" w:type="dxa"/>
            <w:vAlign w:val="center"/>
          </w:tcPr>
          <w:p w14:paraId="4581B0CD">
            <w:pPr>
              <w:pStyle w:val="178"/>
              <w:rPr>
                <w:rFonts w:ascii="Times New Roman"/>
              </w:rPr>
            </w:pPr>
            <w:r>
              <w:rPr>
                <w:rFonts w:ascii="Times New Roman"/>
              </w:rPr>
              <w:t>定性</w:t>
            </w:r>
          </w:p>
        </w:tc>
        <w:tc>
          <w:tcPr>
            <w:tcW w:w="3107" w:type="dxa"/>
            <w:vAlign w:val="center"/>
          </w:tcPr>
          <w:p w14:paraId="1B687128">
            <w:pPr>
              <w:pStyle w:val="178"/>
              <w:spacing w:before="120" w:beforeLines="50" w:after="120" w:afterLines="50"/>
              <w:jc w:val="both"/>
              <w:rPr>
                <w:rFonts w:ascii="Times New Roman"/>
              </w:rPr>
            </w:pPr>
            <w:r>
              <w:rPr>
                <w:rFonts w:ascii="Times New Roman"/>
              </w:rPr>
              <w:t>披露新建工厂、扩产等重大活动对社区环境、经济、社会的影响及沟通补偿措施</w:t>
            </w:r>
          </w:p>
        </w:tc>
      </w:tr>
      <w:tr w14:paraId="63CE16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841" w:type="dxa"/>
            <w:vMerge w:val="restart"/>
            <w:vAlign w:val="center"/>
          </w:tcPr>
          <w:p w14:paraId="141A31DC">
            <w:pPr>
              <w:pStyle w:val="178"/>
              <w:rPr>
                <w:rFonts w:ascii="Times New Roman"/>
              </w:rPr>
            </w:pPr>
            <w:r>
              <w:rPr>
                <w:rFonts w:ascii="Times New Roman"/>
              </w:rPr>
              <w:t>G 治理</w:t>
            </w:r>
          </w:p>
        </w:tc>
        <w:tc>
          <w:tcPr>
            <w:tcW w:w="1701" w:type="dxa"/>
            <w:vMerge w:val="restart"/>
            <w:vAlign w:val="center"/>
          </w:tcPr>
          <w:p w14:paraId="4BF77DCB">
            <w:pPr>
              <w:pStyle w:val="178"/>
              <w:rPr>
                <w:rFonts w:ascii="Times New Roman"/>
              </w:rPr>
            </w:pPr>
            <w:r>
              <w:rPr>
                <w:rFonts w:ascii="Times New Roman"/>
              </w:rPr>
              <w:t>G1 ESG治理结构</w:t>
            </w:r>
          </w:p>
        </w:tc>
        <w:tc>
          <w:tcPr>
            <w:tcW w:w="2410" w:type="dxa"/>
            <w:vAlign w:val="center"/>
          </w:tcPr>
          <w:p w14:paraId="70A1A96A">
            <w:pPr>
              <w:pStyle w:val="178"/>
              <w:jc w:val="both"/>
              <w:rPr>
                <w:rFonts w:ascii="Times New Roman"/>
              </w:rPr>
            </w:pPr>
            <w:r>
              <w:rPr>
                <w:rFonts w:ascii="Times New Roman"/>
              </w:rPr>
              <w:t>G1.1 董事会ESG监督职责</w:t>
            </w:r>
          </w:p>
        </w:tc>
        <w:tc>
          <w:tcPr>
            <w:tcW w:w="1275" w:type="dxa"/>
            <w:vAlign w:val="center"/>
          </w:tcPr>
          <w:p w14:paraId="04ED2B17">
            <w:pPr>
              <w:pStyle w:val="178"/>
              <w:rPr>
                <w:rFonts w:ascii="Times New Roman"/>
              </w:rPr>
            </w:pPr>
            <w:r>
              <w:rPr>
                <w:rFonts w:ascii="Times New Roman"/>
              </w:rPr>
              <w:t>定性</w:t>
            </w:r>
          </w:p>
        </w:tc>
        <w:tc>
          <w:tcPr>
            <w:tcW w:w="3107" w:type="dxa"/>
            <w:vAlign w:val="center"/>
          </w:tcPr>
          <w:p w14:paraId="199AD445">
            <w:pPr>
              <w:pStyle w:val="178"/>
              <w:jc w:val="both"/>
              <w:rPr>
                <w:rFonts w:ascii="Times New Roman"/>
              </w:rPr>
            </w:pPr>
            <w:r>
              <w:rPr>
                <w:rFonts w:ascii="Times New Roman"/>
              </w:rPr>
              <w:t>明确披露董事会在ESG议题上的监督职责，以及是否设立专门的ESG委员会或工作组</w:t>
            </w:r>
          </w:p>
        </w:tc>
      </w:tr>
      <w:tr w14:paraId="2814F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41" w:type="dxa"/>
            <w:vMerge w:val="continue"/>
            <w:vAlign w:val="center"/>
          </w:tcPr>
          <w:p w14:paraId="6AA8A58D">
            <w:pPr>
              <w:pStyle w:val="178"/>
              <w:rPr>
                <w:rFonts w:ascii="Times New Roman"/>
              </w:rPr>
            </w:pPr>
          </w:p>
        </w:tc>
        <w:tc>
          <w:tcPr>
            <w:tcW w:w="1701" w:type="dxa"/>
            <w:vMerge w:val="continue"/>
            <w:vAlign w:val="center"/>
          </w:tcPr>
          <w:p w14:paraId="62E3F08E">
            <w:pPr>
              <w:pStyle w:val="178"/>
              <w:rPr>
                <w:rFonts w:ascii="Times New Roman"/>
              </w:rPr>
            </w:pPr>
          </w:p>
        </w:tc>
        <w:tc>
          <w:tcPr>
            <w:tcW w:w="2410" w:type="dxa"/>
            <w:vAlign w:val="center"/>
          </w:tcPr>
          <w:p w14:paraId="5D906BB9">
            <w:pPr>
              <w:pStyle w:val="178"/>
              <w:jc w:val="both"/>
              <w:rPr>
                <w:rFonts w:ascii="Times New Roman"/>
              </w:rPr>
            </w:pPr>
            <w:r>
              <w:rPr>
                <w:rFonts w:ascii="Times New Roman"/>
              </w:rPr>
              <w:t>G1.2 ESG高管薪酬挂钩机制</w:t>
            </w:r>
          </w:p>
        </w:tc>
        <w:tc>
          <w:tcPr>
            <w:tcW w:w="1275" w:type="dxa"/>
            <w:vAlign w:val="center"/>
          </w:tcPr>
          <w:p w14:paraId="088186E1">
            <w:pPr>
              <w:pStyle w:val="178"/>
              <w:rPr>
                <w:rFonts w:ascii="Times New Roman"/>
              </w:rPr>
            </w:pPr>
            <w:r>
              <w:rPr>
                <w:rFonts w:ascii="Times New Roman"/>
              </w:rPr>
              <w:t>定性/定量</w:t>
            </w:r>
          </w:p>
        </w:tc>
        <w:tc>
          <w:tcPr>
            <w:tcW w:w="3107" w:type="dxa"/>
            <w:vAlign w:val="center"/>
          </w:tcPr>
          <w:p w14:paraId="6C202414">
            <w:pPr>
              <w:pStyle w:val="178"/>
              <w:jc w:val="both"/>
              <w:rPr>
                <w:rFonts w:ascii="Times New Roman"/>
              </w:rPr>
            </w:pPr>
            <w:r>
              <w:rPr>
                <w:rFonts w:ascii="Times New Roman"/>
              </w:rPr>
              <w:t>披露是否将ESG绩效（如减排目标、安全事故率）纳入高级管理人员的绩效考核与薪酬体系</w:t>
            </w:r>
          </w:p>
        </w:tc>
      </w:tr>
      <w:tr w14:paraId="319BBA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89" w:hRule="atLeast"/>
          <w:jc w:val="center"/>
        </w:trPr>
        <w:tc>
          <w:tcPr>
            <w:tcW w:w="841" w:type="dxa"/>
            <w:vMerge w:val="continue"/>
            <w:vAlign w:val="center"/>
          </w:tcPr>
          <w:p w14:paraId="72F887AA">
            <w:pPr>
              <w:pStyle w:val="178"/>
              <w:rPr>
                <w:rFonts w:ascii="Times New Roman"/>
              </w:rPr>
            </w:pPr>
          </w:p>
        </w:tc>
        <w:tc>
          <w:tcPr>
            <w:tcW w:w="1701" w:type="dxa"/>
            <w:vMerge w:val="continue"/>
            <w:vAlign w:val="center"/>
          </w:tcPr>
          <w:p w14:paraId="43797633">
            <w:pPr>
              <w:pStyle w:val="178"/>
              <w:rPr>
                <w:rFonts w:ascii="Times New Roman"/>
              </w:rPr>
            </w:pPr>
          </w:p>
        </w:tc>
        <w:tc>
          <w:tcPr>
            <w:tcW w:w="2410" w:type="dxa"/>
            <w:vAlign w:val="center"/>
          </w:tcPr>
          <w:p w14:paraId="25B85CAB">
            <w:pPr>
              <w:pStyle w:val="178"/>
              <w:jc w:val="both"/>
              <w:rPr>
                <w:rFonts w:ascii="Times New Roman"/>
              </w:rPr>
            </w:pPr>
            <w:r>
              <w:rPr>
                <w:rFonts w:ascii="Times New Roman"/>
              </w:rPr>
              <w:t>G1.3 ESG风险管理流程</w:t>
            </w:r>
          </w:p>
        </w:tc>
        <w:tc>
          <w:tcPr>
            <w:tcW w:w="1275" w:type="dxa"/>
            <w:vAlign w:val="center"/>
          </w:tcPr>
          <w:p w14:paraId="2CC7D34E">
            <w:pPr>
              <w:pStyle w:val="178"/>
              <w:rPr>
                <w:rFonts w:ascii="Times New Roman"/>
              </w:rPr>
            </w:pPr>
            <w:r>
              <w:rPr>
                <w:rFonts w:ascii="Times New Roman"/>
              </w:rPr>
              <w:t>定性</w:t>
            </w:r>
          </w:p>
        </w:tc>
        <w:tc>
          <w:tcPr>
            <w:tcW w:w="3107" w:type="dxa"/>
            <w:vAlign w:val="center"/>
          </w:tcPr>
          <w:p w14:paraId="0902203F">
            <w:pPr>
              <w:pStyle w:val="178"/>
              <w:jc w:val="both"/>
              <w:rPr>
                <w:rFonts w:ascii="Times New Roman"/>
              </w:rPr>
            </w:pPr>
            <w:r>
              <w:rPr>
                <w:rFonts w:ascii="Times New Roman"/>
              </w:rPr>
              <w:t>披露ESG风险（如气候风险、供应链中断风险）的识别、评估、监控和应对的完整流程</w:t>
            </w:r>
          </w:p>
        </w:tc>
      </w:tr>
      <w:tr w14:paraId="371A4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841" w:type="dxa"/>
            <w:vMerge w:val="continue"/>
            <w:vAlign w:val="center"/>
          </w:tcPr>
          <w:p w14:paraId="4FB2B2A8">
            <w:pPr>
              <w:pStyle w:val="178"/>
              <w:rPr>
                <w:rFonts w:ascii="Times New Roman"/>
              </w:rPr>
            </w:pPr>
          </w:p>
        </w:tc>
        <w:tc>
          <w:tcPr>
            <w:tcW w:w="1701" w:type="dxa"/>
            <w:vMerge w:val="restart"/>
            <w:vAlign w:val="center"/>
          </w:tcPr>
          <w:p w14:paraId="157CBDB0">
            <w:pPr>
              <w:pStyle w:val="178"/>
              <w:rPr>
                <w:rFonts w:ascii="Times New Roman"/>
              </w:rPr>
            </w:pPr>
            <w:r>
              <w:rPr>
                <w:rFonts w:ascii="Times New Roman"/>
              </w:rPr>
              <w:t>G2 商业道德</w:t>
            </w:r>
          </w:p>
        </w:tc>
        <w:tc>
          <w:tcPr>
            <w:tcW w:w="2410" w:type="dxa"/>
            <w:vAlign w:val="center"/>
          </w:tcPr>
          <w:p w14:paraId="6D85B691">
            <w:pPr>
              <w:pStyle w:val="178"/>
              <w:jc w:val="both"/>
              <w:rPr>
                <w:rFonts w:ascii="Times New Roman"/>
              </w:rPr>
            </w:pPr>
            <w:r>
              <w:rPr>
                <w:rFonts w:ascii="Times New Roman"/>
              </w:rPr>
              <w:t>G2.1 反腐败培训覆盖率与违规事件</w:t>
            </w:r>
          </w:p>
        </w:tc>
        <w:tc>
          <w:tcPr>
            <w:tcW w:w="1275" w:type="dxa"/>
            <w:vAlign w:val="center"/>
          </w:tcPr>
          <w:p w14:paraId="3DB9CA44">
            <w:pPr>
              <w:pStyle w:val="178"/>
              <w:rPr>
                <w:rFonts w:ascii="Times New Roman"/>
              </w:rPr>
            </w:pPr>
            <w:r>
              <w:rPr>
                <w:rFonts w:ascii="Times New Roman"/>
              </w:rPr>
              <w:t>定量</w:t>
            </w:r>
          </w:p>
        </w:tc>
        <w:tc>
          <w:tcPr>
            <w:tcW w:w="3107" w:type="dxa"/>
            <w:vAlign w:val="center"/>
          </w:tcPr>
          <w:p w14:paraId="1B917AA2">
            <w:pPr>
              <w:pStyle w:val="178"/>
              <w:jc w:val="both"/>
              <w:rPr>
                <w:rFonts w:ascii="Times New Roman"/>
              </w:rPr>
            </w:pPr>
            <w:r>
              <w:rPr>
                <w:rFonts w:ascii="Times New Roman"/>
              </w:rPr>
              <w:t>披露员工（特别是管理层和采购等敏感岗位）接受反腐败培训的比例及年度内确认的腐败违规事件数</w:t>
            </w:r>
          </w:p>
        </w:tc>
      </w:tr>
      <w:tr w14:paraId="05AD6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89" w:hRule="atLeast"/>
          <w:jc w:val="center"/>
        </w:trPr>
        <w:tc>
          <w:tcPr>
            <w:tcW w:w="841" w:type="dxa"/>
            <w:vMerge w:val="continue"/>
            <w:vAlign w:val="center"/>
          </w:tcPr>
          <w:p w14:paraId="25938E0A">
            <w:pPr>
              <w:pStyle w:val="178"/>
              <w:rPr>
                <w:rFonts w:ascii="Times New Roman"/>
              </w:rPr>
            </w:pPr>
          </w:p>
        </w:tc>
        <w:tc>
          <w:tcPr>
            <w:tcW w:w="1701" w:type="dxa"/>
            <w:vMerge w:val="continue"/>
            <w:vAlign w:val="center"/>
          </w:tcPr>
          <w:p w14:paraId="28BCCA29">
            <w:pPr>
              <w:pStyle w:val="178"/>
              <w:rPr>
                <w:rFonts w:ascii="Times New Roman"/>
              </w:rPr>
            </w:pPr>
          </w:p>
        </w:tc>
        <w:tc>
          <w:tcPr>
            <w:tcW w:w="2410" w:type="dxa"/>
            <w:vAlign w:val="center"/>
          </w:tcPr>
          <w:p w14:paraId="6DA44708">
            <w:pPr>
              <w:pStyle w:val="178"/>
              <w:jc w:val="both"/>
              <w:rPr>
                <w:rFonts w:ascii="Times New Roman"/>
              </w:rPr>
            </w:pPr>
            <w:r>
              <w:rPr>
                <w:rFonts w:ascii="Times New Roman"/>
              </w:rPr>
              <w:t>G2.2 诚信经营与公平竞争政策</w:t>
            </w:r>
          </w:p>
        </w:tc>
        <w:tc>
          <w:tcPr>
            <w:tcW w:w="1275" w:type="dxa"/>
            <w:vAlign w:val="center"/>
          </w:tcPr>
          <w:p w14:paraId="5245EA54">
            <w:pPr>
              <w:pStyle w:val="178"/>
              <w:rPr>
                <w:rFonts w:ascii="Times New Roman"/>
              </w:rPr>
            </w:pPr>
            <w:r>
              <w:rPr>
                <w:rFonts w:ascii="Times New Roman"/>
              </w:rPr>
              <w:t>定性</w:t>
            </w:r>
          </w:p>
        </w:tc>
        <w:tc>
          <w:tcPr>
            <w:tcW w:w="3107" w:type="dxa"/>
            <w:vAlign w:val="center"/>
          </w:tcPr>
          <w:p w14:paraId="5F3B6C0F">
            <w:pPr>
              <w:pStyle w:val="178"/>
              <w:jc w:val="both"/>
              <w:rPr>
                <w:rFonts w:ascii="Times New Roman"/>
              </w:rPr>
            </w:pPr>
            <w:r>
              <w:rPr>
                <w:rFonts w:ascii="Times New Roman"/>
              </w:rPr>
              <w:t>披露在营销、广告、竞标及与供应商合作中遵守诚信与公平竞争政策的承诺和措施</w:t>
            </w:r>
          </w:p>
        </w:tc>
      </w:tr>
      <w:tr w14:paraId="2A3D81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841" w:type="dxa"/>
            <w:vMerge w:val="continue"/>
            <w:vAlign w:val="center"/>
          </w:tcPr>
          <w:p w14:paraId="43AD01BF">
            <w:pPr>
              <w:pStyle w:val="178"/>
              <w:rPr>
                <w:rFonts w:ascii="Times New Roman"/>
              </w:rPr>
            </w:pPr>
          </w:p>
        </w:tc>
        <w:tc>
          <w:tcPr>
            <w:tcW w:w="1701" w:type="dxa"/>
            <w:vMerge w:val="restart"/>
            <w:vAlign w:val="center"/>
          </w:tcPr>
          <w:p w14:paraId="5F28CAE9">
            <w:pPr>
              <w:pStyle w:val="178"/>
              <w:rPr>
                <w:rFonts w:ascii="Times New Roman"/>
              </w:rPr>
            </w:pPr>
            <w:r>
              <w:rPr>
                <w:rFonts w:ascii="Times New Roman"/>
              </w:rPr>
              <w:t>G3 信息披露与沟通</w:t>
            </w:r>
          </w:p>
        </w:tc>
        <w:tc>
          <w:tcPr>
            <w:tcW w:w="2410" w:type="dxa"/>
            <w:vAlign w:val="center"/>
          </w:tcPr>
          <w:p w14:paraId="3AFD3445">
            <w:pPr>
              <w:pStyle w:val="178"/>
              <w:jc w:val="both"/>
              <w:rPr>
                <w:rFonts w:ascii="Times New Roman"/>
              </w:rPr>
            </w:pPr>
            <w:r>
              <w:rPr>
                <w:rFonts w:ascii="Times New Roman"/>
              </w:rPr>
              <w:t>G3.1 利益相关方沟通机制</w:t>
            </w:r>
          </w:p>
        </w:tc>
        <w:tc>
          <w:tcPr>
            <w:tcW w:w="1275" w:type="dxa"/>
            <w:vAlign w:val="center"/>
          </w:tcPr>
          <w:p w14:paraId="1ECB1CED">
            <w:pPr>
              <w:pStyle w:val="178"/>
              <w:rPr>
                <w:rFonts w:ascii="Times New Roman"/>
              </w:rPr>
            </w:pPr>
            <w:r>
              <w:rPr>
                <w:rFonts w:ascii="Times New Roman"/>
              </w:rPr>
              <w:t>定性</w:t>
            </w:r>
          </w:p>
        </w:tc>
        <w:tc>
          <w:tcPr>
            <w:tcW w:w="3107" w:type="dxa"/>
            <w:vAlign w:val="center"/>
          </w:tcPr>
          <w:p w14:paraId="71216C1D">
            <w:pPr>
              <w:pStyle w:val="178"/>
              <w:jc w:val="both"/>
              <w:rPr>
                <w:rFonts w:ascii="Times New Roman"/>
              </w:rPr>
            </w:pPr>
            <w:r>
              <w:rPr>
                <w:rFonts w:ascii="Times New Roman"/>
              </w:rPr>
              <w:t>披露识别利益相关方、与其进行常态化沟通的渠道、频率以及对其关切点的回应方式</w:t>
            </w:r>
          </w:p>
        </w:tc>
      </w:tr>
      <w:tr w14:paraId="4FE0E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841" w:type="dxa"/>
            <w:vMerge w:val="continue"/>
            <w:vAlign w:val="center"/>
          </w:tcPr>
          <w:p w14:paraId="23E366B5">
            <w:pPr>
              <w:pStyle w:val="178"/>
              <w:jc w:val="both"/>
              <w:rPr>
                <w:rFonts w:ascii="Times New Roman"/>
              </w:rPr>
            </w:pPr>
          </w:p>
        </w:tc>
        <w:tc>
          <w:tcPr>
            <w:tcW w:w="1701" w:type="dxa"/>
            <w:vMerge w:val="continue"/>
            <w:vAlign w:val="center"/>
          </w:tcPr>
          <w:p w14:paraId="65E7EF64">
            <w:pPr>
              <w:pStyle w:val="178"/>
              <w:jc w:val="both"/>
              <w:rPr>
                <w:rFonts w:ascii="Times New Roman"/>
              </w:rPr>
            </w:pPr>
          </w:p>
        </w:tc>
        <w:tc>
          <w:tcPr>
            <w:tcW w:w="2410" w:type="dxa"/>
            <w:vAlign w:val="center"/>
          </w:tcPr>
          <w:p w14:paraId="0DD7ADAB">
            <w:pPr>
              <w:pStyle w:val="178"/>
              <w:jc w:val="both"/>
              <w:rPr>
                <w:rFonts w:ascii="Times New Roman"/>
              </w:rPr>
            </w:pPr>
            <w:r>
              <w:rPr>
                <w:rFonts w:ascii="Times New Roman"/>
              </w:rPr>
              <w:t>G3.2 遵循的ESG披露标准</w:t>
            </w:r>
          </w:p>
        </w:tc>
        <w:tc>
          <w:tcPr>
            <w:tcW w:w="1275" w:type="dxa"/>
            <w:vAlign w:val="center"/>
          </w:tcPr>
          <w:p w14:paraId="262E2089">
            <w:pPr>
              <w:pStyle w:val="178"/>
              <w:rPr>
                <w:rFonts w:ascii="Times New Roman"/>
              </w:rPr>
            </w:pPr>
            <w:r>
              <w:rPr>
                <w:rFonts w:ascii="Times New Roman"/>
              </w:rPr>
              <w:t>定性</w:t>
            </w:r>
          </w:p>
        </w:tc>
        <w:tc>
          <w:tcPr>
            <w:tcW w:w="3107" w:type="dxa"/>
            <w:vAlign w:val="center"/>
          </w:tcPr>
          <w:p w14:paraId="52A2F013">
            <w:pPr>
              <w:pStyle w:val="178"/>
              <w:jc w:val="both"/>
              <w:rPr>
                <w:rFonts w:ascii="Times New Roman"/>
              </w:rPr>
            </w:pPr>
            <w:r>
              <w:rPr>
                <w:rFonts w:ascii="Times New Roman"/>
              </w:rPr>
              <w:t>披露本报告编写所依据的标准框架以提高可比性</w:t>
            </w:r>
          </w:p>
        </w:tc>
      </w:tr>
      <w:tr w14:paraId="76E71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841" w:type="dxa"/>
            <w:vMerge w:val="continue"/>
            <w:vAlign w:val="center"/>
          </w:tcPr>
          <w:p w14:paraId="01B1C38C">
            <w:pPr>
              <w:pStyle w:val="178"/>
              <w:jc w:val="both"/>
              <w:rPr>
                <w:rFonts w:ascii="Times New Roman"/>
              </w:rPr>
            </w:pPr>
          </w:p>
        </w:tc>
        <w:tc>
          <w:tcPr>
            <w:tcW w:w="1701" w:type="dxa"/>
            <w:vMerge w:val="continue"/>
            <w:vAlign w:val="center"/>
          </w:tcPr>
          <w:p w14:paraId="1BA78D35">
            <w:pPr>
              <w:pStyle w:val="178"/>
              <w:jc w:val="both"/>
              <w:rPr>
                <w:rFonts w:ascii="Times New Roman"/>
              </w:rPr>
            </w:pPr>
          </w:p>
        </w:tc>
        <w:tc>
          <w:tcPr>
            <w:tcW w:w="2410" w:type="dxa"/>
            <w:vAlign w:val="center"/>
          </w:tcPr>
          <w:p w14:paraId="05E0D857">
            <w:pPr>
              <w:pStyle w:val="178"/>
              <w:jc w:val="both"/>
              <w:rPr>
                <w:rFonts w:ascii="Times New Roman"/>
              </w:rPr>
            </w:pPr>
            <w:r>
              <w:rPr>
                <w:rFonts w:ascii="Times New Roman"/>
              </w:rPr>
              <w:t>G3.3 第三方独立验证</w:t>
            </w:r>
          </w:p>
        </w:tc>
        <w:tc>
          <w:tcPr>
            <w:tcW w:w="1275" w:type="dxa"/>
            <w:vAlign w:val="center"/>
          </w:tcPr>
          <w:p w14:paraId="1DD840EC">
            <w:pPr>
              <w:pStyle w:val="178"/>
              <w:rPr>
                <w:rFonts w:ascii="Times New Roman"/>
              </w:rPr>
            </w:pPr>
            <w:r>
              <w:rPr>
                <w:rFonts w:ascii="Times New Roman"/>
              </w:rPr>
              <w:t>定性</w:t>
            </w:r>
          </w:p>
        </w:tc>
        <w:tc>
          <w:tcPr>
            <w:tcW w:w="3107" w:type="dxa"/>
            <w:vAlign w:val="center"/>
          </w:tcPr>
          <w:p w14:paraId="0C3F63DF">
            <w:pPr>
              <w:pStyle w:val="178"/>
              <w:jc w:val="both"/>
              <w:rPr>
                <w:rFonts w:ascii="Times New Roman"/>
              </w:rPr>
            </w:pPr>
            <w:r>
              <w:rPr>
                <w:rFonts w:ascii="Times New Roman"/>
              </w:rPr>
              <w:t>披露报告是否经过以及何种级别的第三方独立验证（如有限保证/合理保证），增强可信度</w:t>
            </w:r>
          </w:p>
        </w:tc>
      </w:tr>
    </w:tbl>
    <w:p w14:paraId="5177AEDD">
      <w:pPr>
        <w:pStyle w:val="56"/>
        <w:ind w:firstLine="420"/>
        <w:rPr>
          <w:rFonts w:ascii="Times New Roman"/>
        </w:rPr>
      </w:pPr>
    </w:p>
    <w:p w14:paraId="6A469CCD">
      <w:pPr>
        <w:pStyle w:val="104"/>
        <w:spacing w:before="240" w:after="240"/>
        <w:rPr>
          <w:rFonts w:ascii="Times New Roman"/>
        </w:rPr>
      </w:pPr>
      <w:bookmarkStart w:id="58" w:name="_Toc210050367"/>
      <w:bookmarkStart w:id="59" w:name="_Toc210050463"/>
      <w:bookmarkStart w:id="60" w:name="_Toc208322780"/>
      <w:r>
        <w:rPr>
          <w:rFonts w:ascii="Times New Roman"/>
        </w:rPr>
        <w:t>披露要求与实施</w:t>
      </w:r>
      <w:bookmarkEnd w:id="58"/>
      <w:bookmarkEnd w:id="59"/>
      <w:bookmarkEnd w:id="60"/>
    </w:p>
    <w:p w14:paraId="69E48155">
      <w:pPr>
        <w:pStyle w:val="105"/>
        <w:spacing w:before="120" w:after="120"/>
        <w:rPr>
          <w:rFonts w:ascii="Times New Roman"/>
        </w:rPr>
      </w:pPr>
      <w:r>
        <w:rPr>
          <w:rFonts w:ascii="Times New Roman"/>
        </w:rPr>
        <w:t>披露形式</w:t>
      </w:r>
    </w:p>
    <w:p w14:paraId="7E429548">
      <w:pPr>
        <w:pStyle w:val="165"/>
        <w:rPr>
          <w:rFonts w:ascii="Times New Roman"/>
        </w:rPr>
      </w:pPr>
      <w:r>
        <w:rPr>
          <w:rFonts w:ascii="Times New Roman"/>
        </w:rPr>
        <w:t>企业应以独立的社会责任报告或ESG报告为主要形式进行披露。</w:t>
      </w:r>
    </w:p>
    <w:p w14:paraId="5B65F194">
      <w:pPr>
        <w:pStyle w:val="165"/>
        <w:rPr>
          <w:rFonts w:ascii="Times New Roman"/>
        </w:rPr>
      </w:pPr>
      <w:r>
        <w:rPr>
          <w:rFonts w:ascii="Times New Roman"/>
        </w:rPr>
        <w:t>企业可将ESG报告作为企业年度报告的组成部分进行披露，但应确保其内容的完整性和独立性。</w:t>
      </w:r>
    </w:p>
    <w:p w14:paraId="70F18F82">
      <w:pPr>
        <w:pStyle w:val="165"/>
        <w:rPr>
          <w:rFonts w:ascii="Times New Roman"/>
        </w:rPr>
      </w:pPr>
      <w:r>
        <w:rPr>
          <w:rFonts w:ascii="Times New Roman"/>
        </w:rPr>
        <w:t>报告应以中文编制，鼓励提供英文或其他语种的版本以供国际利益相关方参考。</w:t>
      </w:r>
    </w:p>
    <w:p w14:paraId="7E1B58C5">
      <w:pPr>
        <w:pStyle w:val="165"/>
        <w:rPr>
          <w:rFonts w:ascii="Times New Roman"/>
        </w:rPr>
      </w:pPr>
      <w:r>
        <w:rPr>
          <w:rFonts w:ascii="Times New Roman"/>
        </w:rPr>
        <w:t>报告宜采用电子版与印刷版相结合的方式发布，其中电子版应在企业官方网站的显著位置予以公布，并保持长期可获取性。</w:t>
      </w:r>
    </w:p>
    <w:p w14:paraId="267FACA8">
      <w:pPr>
        <w:pStyle w:val="105"/>
        <w:spacing w:before="120" w:after="120"/>
        <w:rPr>
          <w:rFonts w:ascii="Times New Roman"/>
        </w:rPr>
      </w:pPr>
      <w:r>
        <w:rPr>
          <w:rFonts w:ascii="Times New Roman"/>
        </w:rPr>
        <w:t>披露频率</w:t>
      </w:r>
    </w:p>
    <w:p w14:paraId="0B0F7CE1">
      <w:pPr>
        <w:pStyle w:val="165"/>
        <w:rPr>
          <w:rFonts w:ascii="Times New Roman"/>
        </w:rPr>
      </w:pPr>
      <w:r>
        <w:rPr>
          <w:rFonts w:ascii="Times New Roman"/>
        </w:rPr>
        <w:t>企业应至少每年披露一次ESG信息。</w:t>
      </w:r>
    </w:p>
    <w:p w14:paraId="6C368107">
      <w:pPr>
        <w:pStyle w:val="165"/>
        <w:rPr>
          <w:rFonts w:ascii="Times New Roman"/>
        </w:rPr>
      </w:pPr>
      <w:r>
        <w:rPr>
          <w:rFonts w:ascii="Times New Roman"/>
        </w:rPr>
        <w:t>年度ESG报告应于每个会计年度结束之日起四个月内发布。</w:t>
      </w:r>
    </w:p>
    <w:p w14:paraId="0200D9B7">
      <w:pPr>
        <w:pStyle w:val="165"/>
        <w:rPr>
          <w:rFonts w:ascii="Times New Roman"/>
        </w:rPr>
      </w:pPr>
      <w:r>
        <w:rPr>
          <w:rFonts w:ascii="Times New Roman"/>
        </w:rPr>
        <w:t>鼓励企业按半年度或季度披露ESG绩效概要或重大进展。</w:t>
      </w:r>
    </w:p>
    <w:p w14:paraId="75ACF1CE">
      <w:pPr>
        <w:pStyle w:val="165"/>
        <w:rPr>
          <w:rFonts w:ascii="Times New Roman"/>
        </w:rPr>
      </w:pPr>
      <w:r>
        <w:rPr>
          <w:rFonts w:ascii="Times New Roman"/>
        </w:rPr>
        <w:t>如发生对利益相关方产生重大影响的ESG事件，企业应及时履行临时披露义务，披露事件概况、影响及应对措施。</w:t>
      </w:r>
    </w:p>
    <w:p w14:paraId="5FB779E8">
      <w:pPr>
        <w:pStyle w:val="105"/>
        <w:spacing w:before="120" w:after="120"/>
        <w:rPr>
          <w:rFonts w:ascii="Times New Roman"/>
        </w:rPr>
      </w:pPr>
      <w:r>
        <w:rPr>
          <w:rFonts w:ascii="Times New Roman"/>
        </w:rPr>
        <w:t>披露流程</w:t>
      </w:r>
    </w:p>
    <w:p w14:paraId="1CEE2C34">
      <w:pPr>
        <w:pStyle w:val="165"/>
        <w:rPr>
          <w:rFonts w:ascii="Times New Roman"/>
        </w:rPr>
      </w:pPr>
      <w:r>
        <w:rPr>
          <w:rFonts w:ascii="Times New Roman"/>
        </w:rPr>
        <w:t>准备阶段应满足以下要求：</w:t>
      </w:r>
    </w:p>
    <w:p w14:paraId="78229B55">
      <w:pPr>
        <w:pStyle w:val="132"/>
        <w:jc w:val="both"/>
        <w:rPr>
          <w:rFonts w:ascii="Times New Roman"/>
        </w:rPr>
      </w:pPr>
      <w:r>
        <w:rPr>
          <w:rFonts w:ascii="Times New Roman"/>
        </w:rPr>
        <w:t>企业确定本次披露的范围和组织边界；</w:t>
      </w:r>
    </w:p>
    <w:p w14:paraId="7F0FAEA6">
      <w:pPr>
        <w:pStyle w:val="132"/>
        <w:jc w:val="both"/>
        <w:rPr>
          <w:rFonts w:ascii="Times New Roman"/>
        </w:rPr>
      </w:pPr>
      <w:r>
        <w:rPr>
          <w:rFonts w:ascii="Times New Roman"/>
        </w:rPr>
        <w:t>企业建立覆盖总部及各运营单元的ESG数据收集体系，明确：</w:t>
      </w:r>
    </w:p>
    <w:p w14:paraId="7A3210EF">
      <w:pPr>
        <w:pStyle w:val="187"/>
        <w:rPr>
          <w:rFonts w:ascii="Times New Roman"/>
        </w:rPr>
      </w:pPr>
      <w:r>
        <w:rPr>
          <w:rFonts w:ascii="Times New Roman"/>
        </w:rPr>
        <w:t>数据来源；</w:t>
      </w:r>
    </w:p>
    <w:p w14:paraId="31DBCA92">
      <w:pPr>
        <w:pStyle w:val="187"/>
        <w:rPr>
          <w:rFonts w:ascii="Times New Roman"/>
        </w:rPr>
      </w:pPr>
      <w:r>
        <w:rPr>
          <w:rFonts w:ascii="Times New Roman"/>
        </w:rPr>
        <w:t>统计口径；</w:t>
      </w:r>
    </w:p>
    <w:p w14:paraId="62AE00EA">
      <w:pPr>
        <w:pStyle w:val="187"/>
        <w:rPr>
          <w:rFonts w:ascii="Times New Roman"/>
        </w:rPr>
      </w:pPr>
      <w:r>
        <w:rPr>
          <w:rFonts w:ascii="Times New Roman"/>
        </w:rPr>
        <w:t>计算方法。</w:t>
      </w:r>
    </w:p>
    <w:p w14:paraId="486606B8">
      <w:pPr>
        <w:pStyle w:val="132"/>
        <w:jc w:val="both"/>
        <w:rPr>
          <w:rFonts w:ascii="Times New Roman"/>
        </w:rPr>
      </w:pPr>
      <w:r>
        <w:rPr>
          <w:rFonts w:ascii="Times New Roman"/>
        </w:rPr>
        <w:t>企业开展利益相关方沟通和重要性议题评估，以确定报告的核心内容与重点。</w:t>
      </w:r>
    </w:p>
    <w:p w14:paraId="1F750595">
      <w:pPr>
        <w:pStyle w:val="165"/>
        <w:rPr>
          <w:rFonts w:ascii="Times New Roman"/>
        </w:rPr>
      </w:pPr>
      <w:r>
        <w:rPr>
          <w:rFonts w:ascii="Times New Roman"/>
        </w:rPr>
        <w:t>编写与评审阶段应满足以下要求：</w:t>
      </w:r>
    </w:p>
    <w:p w14:paraId="6763E544">
      <w:pPr>
        <w:pStyle w:val="132"/>
        <w:jc w:val="both"/>
        <w:rPr>
          <w:rFonts w:ascii="Times New Roman"/>
        </w:rPr>
      </w:pPr>
      <w:r>
        <w:rPr>
          <w:rFonts w:ascii="Times New Roman"/>
        </w:rPr>
        <w:t>报告编写部门或团队依据本指南的要求，基于收集的数据和信息编制报告初稿；</w:t>
      </w:r>
    </w:p>
    <w:p w14:paraId="7E5F4E1F">
      <w:pPr>
        <w:pStyle w:val="132"/>
        <w:jc w:val="both"/>
        <w:rPr>
          <w:rFonts w:ascii="Times New Roman"/>
        </w:rPr>
      </w:pPr>
      <w:r>
        <w:rPr>
          <w:rFonts w:ascii="Times New Roman"/>
        </w:rPr>
        <w:t>报告初稿经由企业内部相关部门进行交叉审核，确保数据的准确性和内容的平衡性；</w:t>
      </w:r>
    </w:p>
    <w:p w14:paraId="2944F519">
      <w:pPr>
        <w:pStyle w:val="132"/>
        <w:jc w:val="both"/>
        <w:rPr>
          <w:rFonts w:ascii="Times New Roman"/>
        </w:rPr>
      </w:pPr>
      <w:r>
        <w:rPr>
          <w:rFonts w:ascii="Times New Roman"/>
        </w:rPr>
        <w:t>报告终稿提交至企业高级管理层进行审议批准。</w:t>
      </w:r>
    </w:p>
    <w:p w14:paraId="7E126F57">
      <w:pPr>
        <w:pStyle w:val="165"/>
        <w:rPr>
          <w:rFonts w:ascii="Times New Roman"/>
        </w:rPr>
      </w:pPr>
      <w:r>
        <w:rPr>
          <w:rFonts w:ascii="Times New Roman"/>
        </w:rPr>
        <w:t>验证与发布阶段应满足以下要求：</w:t>
      </w:r>
    </w:p>
    <w:p w14:paraId="24464F79">
      <w:pPr>
        <w:pStyle w:val="132"/>
        <w:jc w:val="both"/>
        <w:rPr>
          <w:rFonts w:ascii="Times New Roman"/>
        </w:rPr>
      </w:pPr>
      <w:r>
        <w:rPr>
          <w:rFonts w:ascii="Times New Roman"/>
        </w:rPr>
        <w:t>企业聘请独立的第三方机构对报告中的关键绩效数据进行审验，并出具审验声明；</w:t>
      </w:r>
    </w:p>
    <w:p w14:paraId="386399F7">
      <w:pPr>
        <w:pStyle w:val="132"/>
        <w:jc w:val="both"/>
        <w:rPr>
          <w:rFonts w:ascii="Times New Roman"/>
        </w:rPr>
      </w:pPr>
      <w:r>
        <w:rPr>
          <w:rFonts w:ascii="Times New Roman"/>
        </w:rPr>
        <w:t>报告通过企业官网、证券交易所指定平台、新闻媒体以及年度业绩发布会等多种渠道向社会公开发布。</w:t>
      </w:r>
    </w:p>
    <w:p w14:paraId="59E26971">
      <w:pPr>
        <w:pStyle w:val="165"/>
        <w:rPr>
          <w:rFonts w:ascii="Times New Roman"/>
        </w:rPr>
      </w:pPr>
      <w:r>
        <w:rPr>
          <w:rFonts w:ascii="Times New Roman"/>
        </w:rPr>
        <w:t>反馈与改进阶段应满足以下要求：</w:t>
      </w:r>
    </w:p>
    <w:p w14:paraId="5DF3ED37">
      <w:pPr>
        <w:pStyle w:val="132"/>
        <w:jc w:val="both"/>
        <w:rPr>
          <w:rFonts w:ascii="Times New Roman"/>
        </w:rPr>
      </w:pPr>
      <w:r>
        <w:rPr>
          <w:rFonts w:ascii="Times New Roman"/>
        </w:rPr>
        <w:t>企业建立有效的渠道，收集利益相关方对已发布ESG报告的反馈意见；</w:t>
      </w:r>
    </w:p>
    <w:p w14:paraId="71E036A9">
      <w:pPr>
        <w:pStyle w:val="132"/>
        <w:jc w:val="both"/>
        <w:rPr>
          <w:rFonts w:ascii="Times New Roman"/>
        </w:rPr>
      </w:pPr>
      <w:r>
        <w:rPr>
          <w:rFonts w:ascii="Times New Roman"/>
        </w:rPr>
        <w:t>企业对反馈意见进行分析评估，并将有价值的建议纳入下一年度的ESG管理改进和报告编写工作中，形成闭环管理。</w:t>
      </w:r>
    </w:p>
    <w:p w14:paraId="63082F3A">
      <w:pPr>
        <w:pStyle w:val="105"/>
        <w:spacing w:before="120" w:after="120"/>
        <w:rPr>
          <w:rFonts w:ascii="Times New Roman"/>
        </w:rPr>
      </w:pPr>
      <w:r>
        <w:rPr>
          <w:rFonts w:ascii="Times New Roman"/>
        </w:rPr>
        <w:t>披露质量</w:t>
      </w:r>
    </w:p>
    <w:p w14:paraId="7DA7C21E">
      <w:pPr>
        <w:pStyle w:val="165"/>
        <w:rPr>
          <w:rFonts w:ascii="Times New Roman"/>
        </w:rPr>
      </w:pPr>
      <w:r>
        <w:rPr>
          <w:rFonts w:ascii="Times New Roman"/>
        </w:rPr>
        <w:t>报告应客观、中立地披露企业的绩效，避免选择性披露。</w:t>
      </w:r>
    </w:p>
    <w:p w14:paraId="4A2BACB6">
      <w:pPr>
        <w:pStyle w:val="165"/>
        <w:rPr>
          <w:rFonts w:ascii="Times New Roman"/>
        </w:rPr>
      </w:pPr>
      <w:r>
        <w:rPr>
          <w:rFonts w:ascii="Times New Roman"/>
        </w:rPr>
        <w:t>披露所采用的统计方法、计算口径和转换系数应保持前后期一致。如发生变更，应对变更情况、变更原因及对数据可比性的影响予以说明。</w:t>
      </w:r>
    </w:p>
    <w:p w14:paraId="39579230">
      <w:pPr>
        <w:pStyle w:val="165"/>
        <w:rPr>
          <w:rFonts w:ascii="Times New Roman"/>
        </w:rPr>
      </w:pPr>
      <w:r>
        <w:rPr>
          <w:rFonts w:ascii="Times New Roman"/>
        </w:rPr>
        <w:t>披露的量化信息应尽可能采用行业通用或国际公认的计量单位，并提供必要的历史对比数据，以利于纵向和横向比较。</w:t>
      </w:r>
    </w:p>
    <w:p w14:paraId="059B75D2">
      <w:pPr>
        <w:pStyle w:val="165"/>
        <w:rPr>
          <w:rFonts w:ascii="Times New Roman"/>
        </w:rPr>
      </w:pPr>
      <w:r>
        <w:rPr>
          <w:rFonts w:ascii="Times New Roman"/>
        </w:rPr>
        <w:t>报告内容应结构清晰、语言通俗、重点突出。宜充分运用图表、案例、信息图等可视化方式，增强信息的可读性和易理解性。</w:t>
      </w:r>
    </w:p>
    <w:p w14:paraId="02A28EE0">
      <w:pPr>
        <w:pStyle w:val="165"/>
        <w:rPr>
          <w:rFonts w:ascii="Times New Roman"/>
        </w:rPr>
      </w:pPr>
      <w:r>
        <w:rPr>
          <w:rFonts w:ascii="Times New Roman"/>
        </w:rPr>
        <w:t>报告中的信息和数据应有清晰、可追溯的来源和记录作为支撑，其收集、整理和分析过程应受到内部控制，确保真实、准确。鼓励通过第三方审验提升可靠性。</w:t>
      </w:r>
    </w:p>
    <w:p w14:paraId="1F0CCAFA">
      <w:pPr>
        <w:pStyle w:val="165"/>
        <w:rPr>
          <w:rFonts w:ascii="Times New Roman"/>
        </w:rPr>
      </w:pPr>
      <w:r>
        <w:rPr>
          <w:rFonts w:ascii="Times New Roman"/>
        </w:rPr>
        <w:t>报告内容应聚焦对企业和利益相关方均具有重要意义的ESG议题，深度披露企业的管理方法、行动、绩效及未来展望。</w:t>
      </w:r>
    </w:p>
    <w:p w14:paraId="2CC6D63B">
      <w:pPr>
        <w:pStyle w:val="104"/>
        <w:spacing w:before="240" w:after="240"/>
        <w:rPr>
          <w:rFonts w:ascii="Times New Roman"/>
        </w:rPr>
      </w:pPr>
      <w:bookmarkStart w:id="61" w:name="_Toc210050464"/>
      <w:bookmarkStart w:id="62" w:name="_Toc210050368"/>
      <w:bookmarkStart w:id="63" w:name="_Toc208322781"/>
      <w:r>
        <w:rPr>
          <w:rFonts w:ascii="Times New Roman"/>
        </w:rPr>
        <w:t>信息核验与报告应用</w:t>
      </w:r>
      <w:bookmarkEnd w:id="61"/>
      <w:bookmarkEnd w:id="62"/>
      <w:bookmarkEnd w:id="63"/>
    </w:p>
    <w:p w14:paraId="44D40AB6">
      <w:pPr>
        <w:pStyle w:val="105"/>
        <w:spacing w:before="120" w:after="120"/>
        <w:rPr>
          <w:rFonts w:ascii="Times New Roman"/>
        </w:rPr>
      </w:pPr>
      <w:r>
        <w:rPr>
          <w:rFonts w:ascii="Times New Roman"/>
        </w:rPr>
        <w:t>信息核验</w:t>
      </w:r>
    </w:p>
    <w:p w14:paraId="70115042">
      <w:pPr>
        <w:pStyle w:val="165"/>
        <w:rPr>
          <w:rFonts w:ascii="Times New Roman"/>
        </w:rPr>
      </w:pPr>
      <w:r>
        <w:rPr>
          <w:rFonts w:ascii="Times New Roman"/>
        </w:rPr>
        <w:t>内部核验体系应满足以下要求：</w:t>
      </w:r>
    </w:p>
    <w:p w14:paraId="6340F573">
      <w:pPr>
        <w:pStyle w:val="132"/>
        <w:jc w:val="both"/>
        <w:rPr>
          <w:rFonts w:ascii="Times New Roman"/>
        </w:rPr>
      </w:pPr>
      <w:r>
        <w:rPr>
          <w:rFonts w:ascii="Times New Roman"/>
        </w:rPr>
        <w:t>企业建立覆盖ESG数据产生、收集、统计、核算和报送全过程的内部控制制度与管理程序；</w:t>
      </w:r>
    </w:p>
    <w:p w14:paraId="4E15382F">
      <w:pPr>
        <w:pStyle w:val="132"/>
        <w:jc w:val="both"/>
        <w:rPr>
          <w:rFonts w:ascii="Times New Roman"/>
        </w:rPr>
      </w:pPr>
      <w:r>
        <w:rPr>
          <w:rFonts w:ascii="Times New Roman"/>
        </w:rPr>
        <w:t>企业明确各项ESG数据的源头责任部门、提供频次与统计口径，并建立清晰的数据流转与审核路径；</w:t>
      </w:r>
    </w:p>
    <w:p w14:paraId="1F194322">
      <w:pPr>
        <w:pStyle w:val="132"/>
        <w:jc w:val="both"/>
        <w:rPr>
          <w:rFonts w:ascii="Times New Roman"/>
        </w:rPr>
      </w:pPr>
      <w:r>
        <w:rPr>
          <w:rFonts w:ascii="Times New Roman"/>
        </w:rPr>
        <w:t>关键绩效数据具备原始记录、台账、统计报表、检测报告等作为支撑性证据，数据可追溯、可核查；</w:t>
      </w:r>
    </w:p>
    <w:p w14:paraId="273143F3">
      <w:pPr>
        <w:pStyle w:val="132"/>
        <w:jc w:val="both"/>
        <w:rPr>
          <w:rFonts w:ascii="Times New Roman"/>
        </w:rPr>
      </w:pPr>
      <w:r>
        <w:rPr>
          <w:rFonts w:ascii="Times New Roman"/>
        </w:rPr>
        <w:t>企业设立内部审计或专项稽查机制，定期对ESG数据的管理流程和信息质量进行独立审查与评价。</w:t>
      </w:r>
    </w:p>
    <w:p w14:paraId="67DE3CFF">
      <w:pPr>
        <w:pStyle w:val="165"/>
        <w:rPr>
          <w:rFonts w:ascii="Times New Roman"/>
        </w:rPr>
      </w:pPr>
      <w:r>
        <w:rPr>
          <w:rFonts w:ascii="Times New Roman"/>
        </w:rPr>
        <w:t>外部核验应满足以下要求：</w:t>
      </w:r>
    </w:p>
    <w:p w14:paraId="53D7035D">
      <w:pPr>
        <w:pStyle w:val="132"/>
        <w:jc w:val="both"/>
        <w:rPr>
          <w:rFonts w:ascii="Times New Roman"/>
        </w:rPr>
      </w:pPr>
      <w:r>
        <w:rPr>
          <w:rFonts w:ascii="Times New Roman"/>
        </w:rPr>
        <w:t>企业聘请具备相应资质和专业能力的独立第三方机构，对ESG报告中的特定信息或整体内容进行审验；</w:t>
      </w:r>
    </w:p>
    <w:p w14:paraId="7AA8E2DE">
      <w:pPr>
        <w:pStyle w:val="132"/>
        <w:jc w:val="both"/>
        <w:rPr>
          <w:rFonts w:ascii="Times New Roman"/>
        </w:rPr>
      </w:pPr>
      <w:r>
        <w:rPr>
          <w:rFonts w:ascii="Times New Roman"/>
        </w:rPr>
        <w:t>第三方审验机构独立于企业，并遵循公认的审验准则执行工作；</w:t>
      </w:r>
    </w:p>
    <w:p w14:paraId="3C1467EB">
      <w:pPr>
        <w:pStyle w:val="132"/>
        <w:jc w:val="both"/>
        <w:rPr>
          <w:rFonts w:ascii="Times New Roman"/>
        </w:rPr>
      </w:pPr>
      <w:r>
        <w:rPr>
          <w:rFonts w:ascii="Times New Roman"/>
        </w:rPr>
        <w:t>审验工作根据需求采用不同保证等级：</w:t>
      </w:r>
    </w:p>
    <w:p w14:paraId="75E37337">
      <w:pPr>
        <w:pStyle w:val="187"/>
        <w:rPr>
          <w:rFonts w:ascii="Times New Roman"/>
        </w:rPr>
      </w:pPr>
      <w:r>
        <w:rPr>
          <w:rFonts w:ascii="Times New Roman"/>
        </w:rPr>
        <w:t>通过执行询问、分析性程序等审验工作，未发现任何事项使其相信信息存在重大错报；</w:t>
      </w:r>
    </w:p>
    <w:p w14:paraId="31C804CF">
      <w:pPr>
        <w:pStyle w:val="187"/>
        <w:rPr>
          <w:rFonts w:ascii="Times New Roman"/>
        </w:rPr>
      </w:pPr>
      <w:r>
        <w:rPr>
          <w:rFonts w:ascii="Times New Roman"/>
        </w:rPr>
        <w:t>通过执行更广泛的审验程序，获取充分、适当的证据以支持高水平保证，认为信息在所有重大方面是准确的；</w:t>
      </w:r>
    </w:p>
    <w:p w14:paraId="616D4E8A">
      <w:pPr>
        <w:pStyle w:val="132"/>
        <w:jc w:val="both"/>
        <w:rPr>
          <w:rFonts w:ascii="Times New Roman"/>
        </w:rPr>
      </w:pPr>
      <w:r>
        <w:rPr>
          <w:rFonts w:ascii="Times New Roman"/>
        </w:rPr>
        <w:t>第三方机构出具的审验报告随ESG报告一并公开，并明确披露审验范围、依据的标准、保证等级以及发现的关键结论。</w:t>
      </w:r>
    </w:p>
    <w:p w14:paraId="58EE5049">
      <w:pPr>
        <w:pStyle w:val="165"/>
        <w:rPr>
          <w:rFonts w:ascii="Times New Roman"/>
        </w:rPr>
      </w:pPr>
      <w:r>
        <w:rPr>
          <w:rFonts w:ascii="Times New Roman"/>
        </w:rPr>
        <w:t>利益相关方监督应满足以下要求：</w:t>
      </w:r>
    </w:p>
    <w:p w14:paraId="498ADEA1">
      <w:pPr>
        <w:pStyle w:val="132"/>
        <w:jc w:val="both"/>
        <w:rPr>
          <w:rFonts w:ascii="Times New Roman"/>
        </w:rPr>
      </w:pPr>
      <w:r>
        <w:rPr>
          <w:rFonts w:ascii="Times New Roman"/>
        </w:rPr>
        <w:t>企业建立畅通的渠道，允许利益相关方对其披露的ESG信息提出质询；</w:t>
      </w:r>
    </w:p>
    <w:p w14:paraId="6F8BA5B8">
      <w:pPr>
        <w:pStyle w:val="132"/>
        <w:jc w:val="both"/>
        <w:rPr>
          <w:rFonts w:ascii="Times New Roman"/>
        </w:rPr>
      </w:pPr>
      <w:r>
        <w:rPr>
          <w:rFonts w:ascii="Times New Roman"/>
        </w:rPr>
        <w:t>对于利益相关方提出的合理质询，企业予以回应，对经核实确属披露有误或不完整的信息及时进行更正与说明。</w:t>
      </w:r>
    </w:p>
    <w:p w14:paraId="464D3B1B">
      <w:pPr>
        <w:pStyle w:val="105"/>
        <w:spacing w:before="120" w:after="120"/>
        <w:rPr>
          <w:rFonts w:ascii="Times New Roman"/>
        </w:rPr>
      </w:pPr>
      <w:r>
        <w:rPr>
          <w:rFonts w:ascii="Times New Roman"/>
        </w:rPr>
        <w:t>报告应用</w:t>
      </w:r>
    </w:p>
    <w:p w14:paraId="6975AA4E">
      <w:pPr>
        <w:pStyle w:val="165"/>
        <w:rPr>
          <w:rFonts w:ascii="Times New Roman"/>
        </w:rPr>
      </w:pPr>
      <w:r>
        <w:rPr>
          <w:rFonts w:ascii="Times New Roman"/>
        </w:rPr>
        <w:t>内部管理应用应满足以下要求：</w:t>
      </w:r>
    </w:p>
    <w:p w14:paraId="62136892">
      <w:pPr>
        <w:pStyle w:val="132"/>
        <w:jc w:val="both"/>
        <w:rPr>
          <w:rFonts w:ascii="Times New Roman"/>
        </w:rPr>
      </w:pPr>
      <w:r>
        <w:rPr>
          <w:rFonts w:ascii="Times New Roman"/>
        </w:rPr>
        <w:t>企业将ESG绩效分析纳入战略规划与投资决策流程，识别可持续发展带来的机遇与潜在风险；</w:t>
      </w:r>
    </w:p>
    <w:p w14:paraId="1D9F9B02">
      <w:pPr>
        <w:pStyle w:val="132"/>
        <w:jc w:val="both"/>
        <w:rPr>
          <w:rFonts w:ascii="Times New Roman"/>
        </w:rPr>
      </w:pPr>
      <w:r>
        <w:rPr>
          <w:rFonts w:ascii="Times New Roman"/>
        </w:rPr>
        <w:t>企业依据ESG报告所揭示的薄弱环节，制定针对性的管理提升和整改行动计划，并跟踪落实；</w:t>
      </w:r>
    </w:p>
    <w:p w14:paraId="0F0A59C5">
      <w:pPr>
        <w:pStyle w:val="132"/>
        <w:jc w:val="both"/>
        <w:rPr>
          <w:rFonts w:ascii="Times New Roman"/>
        </w:rPr>
      </w:pPr>
      <w:r>
        <w:rPr>
          <w:rFonts w:ascii="Times New Roman"/>
        </w:rPr>
        <w:t>企业将关键ESG指标纳入相关部门及高级管理人员的绩效考核体系，与薪酬激励挂钩；</w:t>
      </w:r>
    </w:p>
    <w:p w14:paraId="1B229D55">
      <w:pPr>
        <w:pStyle w:val="132"/>
        <w:jc w:val="both"/>
        <w:rPr>
          <w:rFonts w:ascii="Times New Roman"/>
        </w:rPr>
      </w:pPr>
      <w:r>
        <w:rPr>
          <w:rFonts w:ascii="Times New Roman"/>
        </w:rPr>
        <w:t>企业将ESG报告作为内部宣传和培训材料，提升全员ESG意识，培育负责任的企业文化。</w:t>
      </w:r>
    </w:p>
    <w:p w14:paraId="38259435">
      <w:pPr>
        <w:pStyle w:val="165"/>
        <w:rPr>
          <w:rFonts w:ascii="Times New Roman"/>
        </w:rPr>
      </w:pPr>
      <w:r>
        <w:rPr>
          <w:rFonts w:ascii="Times New Roman"/>
        </w:rPr>
        <w:t>外部沟通与应用应满足以下要求：</w:t>
      </w:r>
    </w:p>
    <w:p w14:paraId="14B3832F">
      <w:pPr>
        <w:pStyle w:val="132"/>
        <w:jc w:val="both"/>
        <w:rPr>
          <w:rFonts w:ascii="Times New Roman"/>
        </w:rPr>
      </w:pPr>
      <w:r>
        <w:rPr>
          <w:rFonts w:ascii="Times New Roman"/>
        </w:rPr>
        <w:t>企业主动向投资者、金融机构及评级机构提供ESG报告，展示其长期价值和风险管控能力，以获取更优的融资条件和投资机会；</w:t>
      </w:r>
    </w:p>
    <w:p w14:paraId="45BC51F4">
      <w:pPr>
        <w:pStyle w:val="132"/>
        <w:jc w:val="both"/>
        <w:rPr>
          <w:rFonts w:ascii="Times New Roman"/>
        </w:rPr>
      </w:pPr>
      <w:r>
        <w:rPr>
          <w:rFonts w:ascii="Times New Roman"/>
        </w:rPr>
        <w:t>企业利用ESG报告与上下游合作伙伴进行沟通，传递可持续发展要求，推动绿色供应链建设，共同提升产业链韧性；</w:t>
      </w:r>
    </w:p>
    <w:p w14:paraId="64A0DA1A">
      <w:pPr>
        <w:pStyle w:val="132"/>
        <w:jc w:val="both"/>
        <w:rPr>
          <w:rFonts w:ascii="Times New Roman"/>
        </w:rPr>
      </w:pPr>
      <w:r>
        <w:rPr>
          <w:rFonts w:ascii="Times New Roman"/>
        </w:rPr>
        <w:t>企业将ESG报告作为品牌营销和消费者沟通的工具，向市场传递其产品与服务的环境友好属性及社会责任感，增强品牌美誉度和消费者信任；</w:t>
      </w:r>
    </w:p>
    <w:p w14:paraId="09DBF6D5">
      <w:pPr>
        <w:pStyle w:val="132"/>
        <w:jc w:val="both"/>
        <w:rPr>
          <w:rFonts w:ascii="Times New Roman"/>
        </w:rPr>
      </w:pPr>
      <w:r>
        <w:rPr>
          <w:rFonts w:ascii="Times New Roman"/>
        </w:rPr>
        <w:t>ESG报告作为企业响应国家绿色低碳发展政策、遵守环保、劳工等法律法规的证明，为参与政府采购、申请政策支持提供依据；</w:t>
      </w:r>
    </w:p>
    <w:p w14:paraId="2AEB9220">
      <w:pPr>
        <w:pStyle w:val="132"/>
        <w:jc w:val="both"/>
        <w:rPr>
          <w:rFonts w:ascii="Times New Roman"/>
        </w:rPr>
      </w:pPr>
      <w:r>
        <w:rPr>
          <w:rFonts w:ascii="Times New Roman"/>
        </w:rPr>
        <w:t>通过披露社区投入和影响管理信息，企业增进与运营所在地社区的互信，为可持续发展营造良好的外部环境。</w:t>
      </w:r>
    </w:p>
    <w:p w14:paraId="17C9CDF9">
      <w:pPr>
        <w:pStyle w:val="104"/>
        <w:spacing w:before="240" w:after="240"/>
        <w:rPr>
          <w:rFonts w:ascii="Times New Roman"/>
        </w:rPr>
      </w:pPr>
      <w:bookmarkStart w:id="64" w:name="_Toc210050465"/>
      <w:bookmarkStart w:id="65" w:name="_Toc208322782"/>
      <w:bookmarkStart w:id="66" w:name="_Toc210050369"/>
      <w:r>
        <w:rPr>
          <w:rFonts w:ascii="Times New Roman"/>
        </w:rPr>
        <w:t>责任与监督</w:t>
      </w:r>
      <w:bookmarkEnd w:id="64"/>
      <w:bookmarkEnd w:id="65"/>
      <w:bookmarkEnd w:id="66"/>
    </w:p>
    <w:p w14:paraId="3828CD99">
      <w:pPr>
        <w:pStyle w:val="105"/>
        <w:spacing w:before="120" w:after="120"/>
        <w:rPr>
          <w:rFonts w:ascii="Times New Roman"/>
        </w:rPr>
      </w:pPr>
      <w:r>
        <w:rPr>
          <w:rFonts w:ascii="Times New Roman"/>
        </w:rPr>
        <w:t>企业责任</w:t>
      </w:r>
    </w:p>
    <w:p w14:paraId="3F74408D">
      <w:pPr>
        <w:pStyle w:val="165"/>
        <w:rPr>
          <w:rFonts w:ascii="Times New Roman"/>
        </w:rPr>
      </w:pPr>
      <w:r>
        <w:rPr>
          <w:rFonts w:ascii="Times New Roman"/>
        </w:rPr>
        <w:t>董事会（或最高决策层）责任应满足以下要求：</w:t>
      </w:r>
    </w:p>
    <w:p w14:paraId="69DD294D">
      <w:pPr>
        <w:pStyle w:val="132"/>
        <w:jc w:val="both"/>
        <w:rPr>
          <w:rFonts w:ascii="Times New Roman"/>
        </w:rPr>
      </w:pPr>
      <w:r>
        <w:rPr>
          <w:rFonts w:ascii="Times New Roman"/>
        </w:rPr>
        <w:t>董事会承担ESG信息披露的最终责任，负责批准企业的ESG战略、重要政策及年度ESG报告；</w:t>
      </w:r>
    </w:p>
    <w:p w14:paraId="64866522">
      <w:pPr>
        <w:pStyle w:val="132"/>
        <w:jc w:val="both"/>
        <w:rPr>
          <w:rFonts w:ascii="Times New Roman"/>
        </w:rPr>
      </w:pPr>
      <w:r>
        <w:rPr>
          <w:rFonts w:ascii="Times New Roman"/>
        </w:rPr>
        <w:t>董事会确保ESG管理体系建设获得必要的资源支持，并将ESG议题纳入企业重大决策考量；</w:t>
      </w:r>
    </w:p>
    <w:p w14:paraId="12E2B45A">
      <w:pPr>
        <w:pStyle w:val="132"/>
        <w:jc w:val="both"/>
        <w:rPr>
          <w:rFonts w:ascii="Times New Roman"/>
        </w:rPr>
      </w:pPr>
      <w:r>
        <w:rPr>
          <w:rFonts w:ascii="Times New Roman"/>
        </w:rPr>
        <w:t>董事会设立专门的ESG委员会或指定现有专业委员会负责监督ESG工作的推进与绩效，并向董事会汇报；</w:t>
      </w:r>
    </w:p>
    <w:p w14:paraId="1E2DA2DC">
      <w:pPr>
        <w:pStyle w:val="132"/>
        <w:jc w:val="both"/>
        <w:rPr>
          <w:rFonts w:ascii="Times New Roman"/>
        </w:rPr>
      </w:pPr>
      <w:r>
        <w:rPr>
          <w:rFonts w:ascii="Times New Roman"/>
        </w:rPr>
        <w:t>董事会定期审阅ESG相关风险与机遇的评估报告，并监督管理层的应对措施。</w:t>
      </w:r>
    </w:p>
    <w:p w14:paraId="04BF71FF">
      <w:pPr>
        <w:pStyle w:val="165"/>
        <w:rPr>
          <w:rFonts w:ascii="Times New Roman"/>
        </w:rPr>
      </w:pPr>
      <w:r>
        <w:rPr>
          <w:rFonts w:ascii="Times New Roman"/>
        </w:rPr>
        <w:t>管理层责任应满足以下要求：</w:t>
      </w:r>
    </w:p>
    <w:p w14:paraId="3F84E834">
      <w:pPr>
        <w:pStyle w:val="132"/>
        <w:jc w:val="both"/>
        <w:rPr>
          <w:rFonts w:ascii="Times New Roman"/>
        </w:rPr>
      </w:pPr>
      <w:r>
        <w:rPr>
          <w:rFonts w:ascii="Times New Roman"/>
        </w:rPr>
        <w:t>高级管理层负责领导、规划和执行董事会批准的ESG战略，建立有效的内部管理架构和流程；</w:t>
      </w:r>
    </w:p>
    <w:p w14:paraId="68CCDEF1">
      <w:pPr>
        <w:pStyle w:val="132"/>
        <w:jc w:val="both"/>
        <w:rPr>
          <w:rFonts w:ascii="Times New Roman"/>
        </w:rPr>
      </w:pPr>
      <w:r>
        <w:rPr>
          <w:rFonts w:ascii="Times New Roman"/>
        </w:rPr>
        <w:t>高级管理层确保ESG信息的收集、整理与报送流程清晰、高效，且数据质量可靠；</w:t>
      </w:r>
    </w:p>
    <w:p w14:paraId="1691AB67">
      <w:pPr>
        <w:pStyle w:val="132"/>
        <w:jc w:val="both"/>
        <w:rPr>
          <w:rFonts w:ascii="Times New Roman"/>
        </w:rPr>
      </w:pPr>
      <w:r>
        <w:rPr>
          <w:rFonts w:ascii="Times New Roman"/>
        </w:rPr>
        <w:t>高级管理层每年至少一次向董事会报告ESG目标完成情况、关键绩效表现及改进计划；</w:t>
      </w:r>
    </w:p>
    <w:p w14:paraId="6D695ED0">
      <w:pPr>
        <w:pStyle w:val="132"/>
        <w:jc w:val="both"/>
        <w:rPr>
          <w:rFonts w:ascii="Times New Roman"/>
        </w:rPr>
      </w:pPr>
      <w:r>
        <w:rPr>
          <w:rFonts w:ascii="Times New Roman"/>
        </w:rPr>
        <w:t>企业明确指定ESG工作的归口管理部门，并赋予其协调、推进和考核各业务单元ESG工作的职权。</w:t>
      </w:r>
    </w:p>
    <w:p w14:paraId="5C260478">
      <w:pPr>
        <w:pStyle w:val="165"/>
        <w:rPr>
          <w:rFonts w:ascii="Times New Roman"/>
        </w:rPr>
      </w:pPr>
      <w:r>
        <w:rPr>
          <w:rFonts w:ascii="Times New Roman"/>
        </w:rPr>
        <w:t>执行保障应满足以下要求：</w:t>
      </w:r>
    </w:p>
    <w:p w14:paraId="39865B6B">
      <w:pPr>
        <w:pStyle w:val="132"/>
        <w:jc w:val="both"/>
        <w:rPr>
          <w:rFonts w:ascii="Times New Roman"/>
        </w:rPr>
      </w:pPr>
      <w:r>
        <w:rPr>
          <w:rFonts w:ascii="Times New Roman"/>
        </w:rPr>
        <w:t>各业务单元及职能部门负责其业务范围内的ESG实践和数据提供，与本企业ESG政策的一致性；</w:t>
      </w:r>
    </w:p>
    <w:p w14:paraId="726DD9F5">
      <w:pPr>
        <w:pStyle w:val="132"/>
        <w:jc w:val="both"/>
        <w:rPr>
          <w:rFonts w:ascii="Times New Roman"/>
        </w:rPr>
      </w:pPr>
      <w:r>
        <w:rPr>
          <w:rFonts w:ascii="Times New Roman"/>
        </w:rPr>
        <w:t>企业将ESG工作要求融入日常运营管理制度和流程；</w:t>
      </w:r>
    </w:p>
    <w:p w14:paraId="7B4F6DC8">
      <w:pPr>
        <w:pStyle w:val="132"/>
        <w:jc w:val="both"/>
        <w:rPr>
          <w:rFonts w:ascii="Times New Roman"/>
        </w:rPr>
      </w:pPr>
      <w:r>
        <w:rPr>
          <w:rFonts w:ascii="Times New Roman"/>
        </w:rPr>
        <w:t>企业开展面向全体员工，特别是关键岗位人员的ESG培训，提升其认知水平和执行能力；</w:t>
      </w:r>
    </w:p>
    <w:p w14:paraId="31339382">
      <w:pPr>
        <w:pStyle w:val="132"/>
        <w:jc w:val="both"/>
        <w:rPr>
          <w:rFonts w:ascii="Times New Roman"/>
        </w:rPr>
      </w:pPr>
      <w:r>
        <w:rPr>
          <w:rFonts w:ascii="Times New Roman"/>
        </w:rPr>
        <w:t>企业建立内部激励与问责机制，对ESG工作表现优异的部门或个人给予表彰，对造成重大负面影响的失职行为予以问责。</w:t>
      </w:r>
    </w:p>
    <w:p w14:paraId="23357813">
      <w:pPr>
        <w:pStyle w:val="105"/>
        <w:spacing w:before="120" w:after="120"/>
        <w:rPr>
          <w:rFonts w:ascii="Times New Roman"/>
        </w:rPr>
      </w:pPr>
      <w:r>
        <w:rPr>
          <w:rFonts w:ascii="Times New Roman"/>
        </w:rPr>
        <w:t>监督机制</w:t>
      </w:r>
    </w:p>
    <w:p w14:paraId="53D9CD09">
      <w:pPr>
        <w:pStyle w:val="165"/>
        <w:rPr>
          <w:rFonts w:ascii="Times New Roman"/>
        </w:rPr>
      </w:pPr>
      <w:r>
        <w:rPr>
          <w:rFonts w:ascii="Times New Roman"/>
        </w:rPr>
        <w:t>内部监督</w:t>
      </w:r>
      <w:bookmarkStart w:id="67" w:name="OLE_LINK1"/>
      <w:r>
        <w:rPr>
          <w:rFonts w:ascii="Times New Roman"/>
        </w:rPr>
        <w:t>应满足以下要求：</w:t>
      </w:r>
      <w:bookmarkEnd w:id="67"/>
    </w:p>
    <w:p w14:paraId="659BA4EA">
      <w:pPr>
        <w:pStyle w:val="132"/>
        <w:jc w:val="both"/>
        <w:rPr>
          <w:rFonts w:ascii="Times New Roman"/>
        </w:rPr>
      </w:pPr>
      <w:r>
        <w:rPr>
          <w:rFonts w:ascii="Times New Roman"/>
        </w:rPr>
        <w:t>企业的内部审计部门定期对ESG数据管理流程和信息披露内部控制的有效性进行独立审计，并将审计结果报告至董事会或审计委员会；</w:t>
      </w:r>
    </w:p>
    <w:p w14:paraId="1F128C43">
      <w:pPr>
        <w:pStyle w:val="132"/>
        <w:jc w:val="both"/>
        <w:rPr>
          <w:rFonts w:ascii="Times New Roman"/>
        </w:rPr>
      </w:pPr>
      <w:r>
        <w:rPr>
          <w:rFonts w:ascii="Times New Roman"/>
        </w:rPr>
        <w:t>企业建立ESG信息内部举报渠道，鼓励员工在发现数据造假、虚报或瞒报等行为时进行实名或匿名举报，并确保举报人得到充分保护。</w:t>
      </w:r>
    </w:p>
    <w:p w14:paraId="5F2364AE">
      <w:pPr>
        <w:pStyle w:val="165"/>
        <w:rPr>
          <w:rFonts w:ascii="Times New Roman"/>
        </w:rPr>
      </w:pPr>
      <w:r>
        <w:rPr>
          <w:rFonts w:ascii="Times New Roman"/>
        </w:rPr>
        <w:t>行业自律与监督应满足以下要求：</w:t>
      </w:r>
    </w:p>
    <w:p w14:paraId="6BDA5222">
      <w:pPr>
        <w:pStyle w:val="132"/>
        <w:jc w:val="both"/>
        <w:rPr>
          <w:rFonts w:ascii="Times New Roman"/>
        </w:rPr>
      </w:pPr>
      <w:r>
        <w:rPr>
          <w:rFonts w:ascii="Times New Roman"/>
        </w:rPr>
        <w:t>相关行业协会发挥引导和自律作用，组织本指南的宣贯、培训和经验交流活动；</w:t>
      </w:r>
    </w:p>
    <w:p w14:paraId="318DC3E9">
      <w:pPr>
        <w:pStyle w:val="132"/>
        <w:jc w:val="both"/>
        <w:rPr>
          <w:rFonts w:ascii="Times New Roman"/>
        </w:rPr>
      </w:pPr>
      <w:r>
        <w:rPr>
          <w:rFonts w:ascii="Times New Roman"/>
        </w:rPr>
        <w:t>行业协会建立行业ESG信息平台，收集并展示企业的ESG报告，促进同行间的比较与学习；</w:t>
      </w:r>
    </w:p>
    <w:p w14:paraId="26A1884E">
      <w:pPr>
        <w:pStyle w:val="132"/>
        <w:jc w:val="both"/>
        <w:rPr>
          <w:rFonts w:ascii="Times New Roman"/>
        </w:rPr>
      </w:pPr>
      <w:r>
        <w:rPr>
          <w:rFonts w:ascii="Times New Roman"/>
        </w:rPr>
        <w:t>行业协会对成员企业的ESG披露行为进行评议，并对优秀实践案例进行推广，对不良行为进行行业通报。</w:t>
      </w:r>
    </w:p>
    <w:p w14:paraId="219C493A">
      <w:pPr>
        <w:pStyle w:val="165"/>
        <w:rPr>
          <w:rFonts w:ascii="Times New Roman"/>
        </w:rPr>
      </w:pPr>
      <w:r>
        <w:rPr>
          <w:rFonts w:ascii="Times New Roman"/>
        </w:rPr>
        <w:t>利益相关方监督应满足以下要求：</w:t>
      </w:r>
    </w:p>
    <w:p w14:paraId="03B1F11E">
      <w:pPr>
        <w:pStyle w:val="132"/>
        <w:jc w:val="both"/>
        <w:rPr>
          <w:rFonts w:ascii="Times New Roman"/>
        </w:rPr>
      </w:pPr>
      <w:r>
        <w:rPr>
          <w:rFonts w:ascii="Times New Roman"/>
        </w:rPr>
        <w:t>投资者、金融机构将企业ESG披露质量作为投资与授信决策的重要依据，通过行使股东权利、开展尽职调查等方式进行监督；</w:t>
      </w:r>
    </w:p>
    <w:p w14:paraId="5C7BC478">
      <w:pPr>
        <w:pStyle w:val="132"/>
        <w:jc w:val="both"/>
        <w:rPr>
          <w:rFonts w:ascii="Times New Roman"/>
        </w:rPr>
      </w:pPr>
      <w:r>
        <w:rPr>
          <w:rFonts w:ascii="Times New Roman"/>
        </w:rPr>
        <w:t>媒体、环保组织、非政府组织、消费者及公众对企业披露的ESG信息进行社会监督，对存疑信息提出质询，对虚假披露行为进行曝光；</w:t>
      </w:r>
    </w:p>
    <w:p w14:paraId="132D0EC1">
      <w:pPr>
        <w:pStyle w:val="132"/>
        <w:jc w:val="both"/>
        <w:rPr>
          <w:rFonts w:ascii="Times New Roman"/>
        </w:rPr>
      </w:pPr>
      <w:r>
        <w:rPr>
          <w:rFonts w:ascii="Times New Roman"/>
        </w:rPr>
        <w:t>企业建立健全的利益相关方沟通机制，对其关切的ESG问题予以积极、及时的回应。</w:t>
      </w:r>
    </w:p>
    <w:p w14:paraId="6E804643">
      <w:pPr>
        <w:pStyle w:val="165"/>
        <w:rPr>
          <w:rFonts w:ascii="Times New Roman"/>
        </w:rPr>
      </w:pPr>
      <w:r>
        <w:rPr>
          <w:rFonts w:ascii="Times New Roman"/>
        </w:rPr>
        <w:t>第三方评价监督应满足以下要求：</w:t>
      </w:r>
    </w:p>
    <w:p w14:paraId="4A14612A">
      <w:pPr>
        <w:pStyle w:val="132"/>
        <w:jc w:val="both"/>
        <w:rPr>
          <w:rFonts w:ascii="Times New Roman"/>
        </w:rPr>
      </w:pPr>
      <w:r>
        <w:rPr>
          <w:rFonts w:ascii="Times New Roman"/>
        </w:rPr>
        <w:t>ESG评级机构依据本指南及行业特点，构建科学的评价模型，对企业的ESG表现进行评级，其结果作为市场监督的重要参考；</w:t>
      </w:r>
    </w:p>
    <w:p w14:paraId="77896EB3">
      <w:pPr>
        <w:pStyle w:val="132"/>
        <w:jc w:val="both"/>
        <w:rPr>
          <w:rFonts w:ascii="Times New Roman"/>
        </w:rPr>
      </w:pPr>
      <w:r>
        <w:rPr>
          <w:rFonts w:ascii="Times New Roman"/>
        </w:rPr>
        <w:t>会计师事务所、认证机构等第三方专业机构秉持独立、客观、公正的原则，对企业ESG信息进行审验，并以专业声誉为其审验结论负责。</w:t>
      </w:r>
    </w:p>
    <w:bookmarkEnd w:id="19"/>
    <w:p w14:paraId="6E68C435">
      <w:pPr>
        <w:pStyle w:val="56"/>
        <w:ind w:firstLine="0" w:firstLineChars="0"/>
        <w:jc w:val="center"/>
        <w:rPr>
          <w:rFonts w:ascii="Times New Roman"/>
        </w:rPr>
      </w:pPr>
      <w:bookmarkStart w:id="68" w:name="BookMark8"/>
      <w:r>
        <w:rPr>
          <w:rFonts w:ascii="Times New Roman"/>
        </w:rPr>
        <w:drawing>
          <wp:inline distT="0" distB="0" distL="0" distR="0">
            <wp:extent cx="1485900" cy="317500"/>
            <wp:effectExtent l="0" t="0" r="0" b="6350"/>
            <wp:docPr id="679357452" name="图片 3"/>
            <wp:cNvGraphicFramePr/>
            <a:graphic xmlns:a="http://schemas.openxmlformats.org/drawingml/2006/main">
              <a:graphicData uri="http://schemas.openxmlformats.org/drawingml/2006/picture">
                <pic:pic xmlns:pic="http://schemas.openxmlformats.org/drawingml/2006/picture">
                  <pic:nvPicPr>
                    <pic:cNvPr id="679357452"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8"/>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 w:name="等线">
    <w:altName w:val="Arial Unicode MS"/>
    <w:panose1 w:val="00000000000000000000"/>
    <w:charset w:val="00"/>
    <w:family w:val="auto"/>
    <w:pitch w:val="default"/>
    <w:sig w:usb0="00000000" w:usb1="00000000" w:usb2="00000000" w:usb3="00000000" w:csb0="00000000" w:csb1="00000000"/>
  </w:font>
  <w:font w:name="隶属">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820C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DDE4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6295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4A7A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C43B8">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04BB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BF22C">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05970">
    <w:pPr>
      <w:pStyle w:val="61"/>
      <w:rPr>
        <w:rFonts w:hint="eastAsia"/>
      </w:rPr>
    </w:pPr>
    <w:r>
      <w:fldChar w:fldCharType="begin"/>
    </w:r>
    <w:r>
      <w:instrText xml:space="preserve"> STYLEREF  标准文件_文件编号  \* MERGEFORMAT </w:instrText>
    </w:r>
    <w:r>
      <w:fldChar w:fldCharType="separate"/>
    </w:r>
    <w:r>
      <w:t>T/CWDPA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2131">
    <w:pPr>
      <w:pStyle w:val="18"/>
      <w:jc w:val="right"/>
    </w:pPr>
    <w:r>
      <w:fldChar w:fldCharType="begin"/>
    </w:r>
    <w:r>
      <w:instrText xml:space="preserve"> STYLEREF  标准文件_文件编号  \* MERGEFORMAT </w:instrText>
    </w:r>
    <w:r>
      <w:fldChar w:fldCharType="separate"/>
    </w:r>
    <w:r>
      <w:t>T/CWDPA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1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26B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297"/>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46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7F51"/>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E23"/>
    <w:rsid w:val="003F3F08"/>
    <w:rsid w:val="003F49F1"/>
    <w:rsid w:val="003F6272"/>
    <w:rsid w:val="00400E72"/>
    <w:rsid w:val="00401400"/>
    <w:rsid w:val="00404869"/>
    <w:rsid w:val="00405884"/>
    <w:rsid w:val="00407691"/>
    <w:rsid w:val="00407D39"/>
    <w:rsid w:val="0041477A"/>
    <w:rsid w:val="004167A3"/>
    <w:rsid w:val="00432DAA"/>
    <w:rsid w:val="00434305"/>
    <w:rsid w:val="00435DF7"/>
    <w:rsid w:val="0043665C"/>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24B"/>
    <w:rsid w:val="004F391A"/>
    <w:rsid w:val="004F3CFB"/>
    <w:rsid w:val="004F6456"/>
    <w:rsid w:val="004F696E"/>
    <w:rsid w:val="004F6C71"/>
    <w:rsid w:val="00501139"/>
    <w:rsid w:val="0050363E"/>
    <w:rsid w:val="005039BC"/>
    <w:rsid w:val="005043BB"/>
    <w:rsid w:val="00504A3D"/>
    <w:rsid w:val="00505767"/>
    <w:rsid w:val="005073F0"/>
    <w:rsid w:val="005109EB"/>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2518"/>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5AE6"/>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DC3"/>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2708"/>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1C37"/>
    <w:rsid w:val="0098364B"/>
    <w:rsid w:val="009908A3"/>
    <w:rsid w:val="009911AF"/>
    <w:rsid w:val="00991875"/>
    <w:rsid w:val="00991F92"/>
    <w:rsid w:val="00992985"/>
    <w:rsid w:val="00993889"/>
    <w:rsid w:val="0099551B"/>
    <w:rsid w:val="00996BD2"/>
    <w:rsid w:val="00997BF1"/>
    <w:rsid w:val="009A0359"/>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6D5"/>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374C"/>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739"/>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0E82"/>
    <w:rsid w:val="00ED2B50"/>
    <w:rsid w:val="00EE0350"/>
    <w:rsid w:val="00EE0719"/>
    <w:rsid w:val="00EE0E80"/>
    <w:rsid w:val="00EE613F"/>
    <w:rsid w:val="00EE7295"/>
    <w:rsid w:val="00EE7869"/>
    <w:rsid w:val="00EF054A"/>
    <w:rsid w:val="00EF3235"/>
    <w:rsid w:val="00EF5195"/>
    <w:rsid w:val="00EF7E72"/>
    <w:rsid w:val="00F06D37"/>
    <w:rsid w:val="00F07B9D"/>
    <w:rsid w:val="00F11586"/>
    <w:rsid w:val="00F1183B"/>
    <w:rsid w:val="00F11C9F"/>
    <w:rsid w:val="00F12263"/>
    <w:rsid w:val="00F1409D"/>
    <w:rsid w:val="00F14214"/>
    <w:rsid w:val="00F157A9"/>
    <w:rsid w:val="00F1696B"/>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4D2"/>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CC629F4"/>
    <w:rsid w:val="26B37D03"/>
    <w:rsid w:val="69D1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67C02BAC6C4113A34AC12CE4594AB0"/>
        <w:style w:val=""/>
        <w:category>
          <w:name w:val="常规"/>
          <w:gallery w:val="placeholder"/>
        </w:category>
        <w:types>
          <w:type w:val="bbPlcHdr"/>
        </w:types>
        <w:behaviors>
          <w:behavior w:val="content"/>
        </w:behaviors>
        <w:description w:val=""/>
        <w:guid w:val="{AD8AABED-0BFD-4431-A2B7-0101F16FB39F}"/>
      </w:docPartPr>
      <w:docPartBody>
        <w:p w14:paraId="0C7FECAE">
          <w:pPr>
            <w:pStyle w:val="5"/>
            <w:rPr>
              <w:rFonts w:hint="eastAsia"/>
            </w:rPr>
          </w:pPr>
          <w:r>
            <w:rPr>
              <w:rStyle w:val="4"/>
              <w:rFonts w:hint="eastAsia"/>
            </w:rPr>
            <w:t>单击或点击此处输入文字。</w:t>
          </w:r>
        </w:p>
      </w:docPartBody>
    </w:docPart>
    <w:docPart>
      <w:docPartPr>
        <w:name w:val="D4C7897B338F4C4A86278B3851281C30"/>
        <w:style w:val=""/>
        <w:category>
          <w:name w:val="常规"/>
          <w:gallery w:val="placeholder"/>
        </w:category>
        <w:types>
          <w:type w:val="bbPlcHdr"/>
        </w:types>
        <w:behaviors>
          <w:behavior w:val="content"/>
        </w:behaviors>
        <w:description w:val=""/>
        <w:guid w:val="{A5EC6382-AF66-4BE3-ABA7-3EFF23FED777}"/>
      </w:docPartPr>
      <w:docPartBody>
        <w:p w14:paraId="138FC979">
          <w:pPr>
            <w:pStyle w:val="6"/>
            <w:rPr>
              <w:rFonts w:hint="eastAsia"/>
            </w:rPr>
          </w:pPr>
          <w:r>
            <w:rPr>
              <w:rStyle w:val="4"/>
              <w:rFonts w:hint="eastAsia"/>
            </w:rPr>
            <w:t>选择一项。</w:t>
          </w:r>
        </w:p>
      </w:docPartBody>
    </w:docPart>
    <w:docPart>
      <w:docPartPr>
        <w:name w:val="3F47AF57F9FA435F96B740104D404FFE"/>
        <w:style w:val=""/>
        <w:category>
          <w:name w:val="常规"/>
          <w:gallery w:val="placeholder"/>
        </w:category>
        <w:types>
          <w:type w:val="bbPlcHdr"/>
        </w:types>
        <w:behaviors>
          <w:behavior w:val="content"/>
        </w:behaviors>
        <w:description w:val=""/>
        <w:guid w:val="{14F99D85-405E-4D52-8F67-36D066977CA1}"/>
      </w:docPartPr>
      <w:docPartBody>
        <w:p w14:paraId="28D03ADB">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A2C"/>
    <w:rsid w:val="00327F51"/>
    <w:rsid w:val="00477FCD"/>
    <w:rsid w:val="004C5A2C"/>
    <w:rsid w:val="005240A0"/>
    <w:rsid w:val="007C5AE6"/>
    <w:rsid w:val="00932708"/>
    <w:rsid w:val="00A422BF"/>
    <w:rsid w:val="00B8374C"/>
    <w:rsid w:val="00CA27C0"/>
    <w:rsid w:val="00D67D14"/>
    <w:rsid w:val="00F16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67C02BAC6C4113A34AC12CE4594AB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D4C7897B338F4C4A86278B3851281C3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3F47AF57F9FA435F96B740104D404FF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1093</Words>
  <Characters>1332</Characters>
  <Lines>54</Lines>
  <Paragraphs>15</Paragraphs>
  <TotalTime>0</TotalTime>
  <ScaleCrop>false</ScaleCrop>
  <LinksUpToDate>false</LinksUpToDate>
  <CharactersWithSpaces>1404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2025-09-05T09:24:00Z</dcterms:created>
  <dc:creator>1</dc:creator>
  <dc:description>&lt;config cover="true" show_menu="true" version="1.0.0" doctype="SDKXY"&gt;_x000d_
&lt;/config&gt;</dc:description>
  <cp:lastModifiedBy>Shimmer</cp:lastModifiedBy>
  <cp:lastPrinted>2021-02-02T08:22:00Z</cp:lastPrinted>
  <dcterms:modified xsi:type="dcterms:W3CDTF">2025-12-15T09:07:53Z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2052-12.1.0.24034</vt:lpwstr>
  </property>
  <property fmtid="{D5CDD505-2E9C-101B-9397-08002B2CF9AE}" pid="16" name="ICV">
    <vt:lpwstr>7E4B12BC959C49CC83434DB303154C2C_12</vt:lpwstr>
  </property>
</Properties>
</file>