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皮鞋安全生产技术规范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皮鞋安全生产技术规范</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十一</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皮鞋安全生产技术规范</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600D0C43">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皮鞋制造业作为传统轻工业的重要组成部分，其生产过程涉及皮革加工、胶粘剂使用、机械操作及手工工序等多环节，存在化学品暴露、机械伤害、火灾隐患等安全生产风险。随着行业规模化、集约化发展，企业生产强度与复杂度显著提升，而部分中小企业因安全投入不足、技术装备落后、从业人员安全意识薄弱，导致工伤事故频发，不仅威胁劳动者生命健康，也制约了行业高质量发展。与此同时，国家对安全生产监管力度持续加强，新安全生产法及行业相关标准的实施，对皮鞋生产企业的风险管控、隐患排查、应急管理等提出了更高要求，亟需通过技术规范引导企业系统化提升安全管理水平。</w:t>
      </w:r>
    </w:p>
    <w:p w14:paraId="7C7E97D0">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皮鞋行业安全生产领域存在三方面突出矛盾：一是标准碎片化，现有规范多聚焦单一环节，缺乏覆盖全流程的综合性技术指南，导致企业安全管理体系割裂；二是技术适配性不足，部分中小企业沿用传统工艺与设备，未充分考虑人机工程学设计，易引发操作疲劳或误操作，同时对挥发性有机物、重金属等职业危害因素的防控技术滞后；三是动态监管机制缺失，企业多依赖被动式检查，缺乏基于数字化工具的风险预警与过程追溯能力。</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制定《皮鞋安全生产技术规范》具有显著的现实价值与战略意义。从行业层面，其可推动皮鞋生产向“安全-绿色-智能”方向升级，通过统一技术标准降低企业合规成本，提升行业整体安全水平；从企业视角，规范化的安全管理能减少事故停工损失、降低保险费用，同时增强员工归属感与生产效率，助力企业构建可持续竞争力；从社会效益维度，该规范将强化对劳动者权益的保护，减少职业病与工伤发生，促进社会和谐稳定，为传统制造业转型升级提供可复制的安全生产管理范式。</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皮鞋生产</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皮鞋生产</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皮鞋生产相关情况进行了深入的调查研究，同时广泛搜集相关标准和国外技术资料，进行了大量的研究分析、资料查证工作，确定了皮鞋生产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标准起草组进一步研究了皮鞋生产需要具备的特殊条件，明确了技术要求和指标，为标准的具体起草指明了方向。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在理论研究基础上，起草组在标准编制过程中充分借鉴已有的理论研究和实践成果，基于我国市场行情，经过数次修订，形成了《皮鞋安全生产技术规范》标准草案。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皮鞋安全生产技术规范》（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11</w:t>
      </w:r>
      <w:bookmarkStart w:id="45" w:name="_GoBack"/>
      <w:bookmarkEnd w:id="45"/>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个部分，主要内容如下：</w:t>
      </w:r>
    </w:p>
    <w:p w14:paraId="02A8EF69">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233325"/>
      <w:bookmarkStart w:id="3" w:name="_Toc24884218"/>
      <w:bookmarkStart w:id="4" w:name="_Toc97192964"/>
      <w:bookmarkStart w:id="5" w:name="_Toc26986771"/>
      <w:bookmarkStart w:id="6" w:name="_Toc26718930"/>
      <w:bookmarkStart w:id="7" w:name="_Toc24884211"/>
      <w:bookmarkStart w:id="8" w:name="_Toc207979911"/>
      <w:bookmarkStart w:id="9" w:name="_Toc17233333"/>
      <w:bookmarkStart w:id="10" w:name="_Toc26986530"/>
      <w:bookmarkStart w:id="11" w:name="_Toc26648465"/>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p>
    <w:p w14:paraId="776BF080">
      <w:pPr>
        <w:pStyle w:val="34"/>
        <w:widowControl/>
        <w:spacing w:line="360" w:lineRule="auto"/>
        <w:ind w:left="0" w:firstLine="420"/>
        <w:rPr>
          <w:rFonts w:hint="default" w:ascii="Times New Roman" w:hAnsi="Times New Roman" w:cs="Times New Roman"/>
          <w:sz w:val="28"/>
          <w:szCs w:val="28"/>
          <w:highlight w:val="none"/>
          <w:lang w:val="en-US"/>
        </w:rPr>
      </w:pPr>
      <w:bookmarkStart w:id="12" w:name="_Toc17233334"/>
      <w:bookmarkStart w:id="13" w:name="_Toc17233326"/>
      <w:bookmarkStart w:id="14" w:name="_Toc24884212"/>
      <w:bookmarkStart w:id="15" w:name="_Toc24884219"/>
      <w:bookmarkStart w:id="16" w:name="_Toc26648466"/>
      <w:r>
        <w:rPr>
          <w:rFonts w:hint="default" w:ascii="Times New Roman" w:hAnsi="Times New Roman" w:cs="Times New Roman"/>
          <w:sz w:val="28"/>
          <w:szCs w:val="28"/>
          <w:highlight w:val="none"/>
          <w:lang w:eastAsia="zh-CN"/>
        </w:rPr>
        <w:t>本文件规定了皮鞋安全生产的术语和定义、基本要求、作业环境、生产设备、生产工艺、危险化学品管理、仓储管理。</w:t>
      </w:r>
    </w:p>
    <w:p w14:paraId="55BEB482">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本文件适用于各类皮鞋生产企业的安全生产管理、监督与检查。</w:t>
      </w:r>
    </w:p>
    <w:p w14:paraId="0ABE4A46">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7" w:name="_Toc26986772"/>
      <w:bookmarkStart w:id="18" w:name="_Toc26718931"/>
      <w:bookmarkStart w:id="19" w:name="_Toc26986531"/>
      <w:bookmarkStart w:id="20" w:name="_Toc97192965"/>
      <w:bookmarkStart w:id="21" w:name="_Toc207979912"/>
      <w:r>
        <w:rPr>
          <w:rFonts w:hint="default" w:ascii="Times New Roman" w:hAnsi="Times New Roman" w:cs="Times New Roman"/>
          <w:sz w:val="28"/>
          <w:szCs w:val="28"/>
          <w:highlight w:val="none"/>
          <w:lang w:eastAsia="zh-CN"/>
        </w:rPr>
        <w:t>规范性引用文件</w:t>
      </w:r>
      <w:bookmarkEnd w:id="12"/>
      <w:bookmarkEnd w:id="13"/>
      <w:bookmarkEnd w:id="14"/>
      <w:bookmarkEnd w:id="15"/>
      <w:bookmarkEnd w:id="16"/>
      <w:bookmarkEnd w:id="17"/>
      <w:bookmarkEnd w:id="18"/>
      <w:bookmarkEnd w:id="19"/>
      <w:bookmarkEnd w:id="20"/>
      <w:bookmarkEnd w:id="21"/>
    </w:p>
    <w:p w14:paraId="7A998EC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635EBAA">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2894 </w:t>
      </w:r>
      <w:r>
        <w:rPr>
          <w:rFonts w:hint="default" w:ascii="Times New Roman" w:hAnsi="Times New Roman" w:cs="Times New Roman"/>
          <w:sz w:val="28"/>
          <w:szCs w:val="28"/>
          <w:highlight w:val="none"/>
          <w:lang w:eastAsia="zh-CN"/>
        </w:rPr>
        <w:t>安全标志及其使用导则</w:t>
      </w:r>
    </w:p>
    <w:p w14:paraId="15C5F710">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4053.3 </w:t>
      </w:r>
      <w:r>
        <w:rPr>
          <w:rFonts w:hint="default" w:ascii="Times New Roman" w:hAnsi="Times New Roman" w:cs="Times New Roman"/>
          <w:sz w:val="28"/>
          <w:szCs w:val="28"/>
          <w:highlight w:val="none"/>
          <w:lang w:eastAsia="zh-CN"/>
        </w:rPr>
        <w:t>固定式钢梯及平台安全要求 第</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部分：工业防护栏杆及钢平台</w:t>
      </w:r>
    </w:p>
    <w:p w14:paraId="72D22C07">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5083 </w:t>
      </w:r>
      <w:r>
        <w:rPr>
          <w:rFonts w:hint="default" w:ascii="Times New Roman" w:hAnsi="Times New Roman" w:cs="Times New Roman"/>
          <w:sz w:val="28"/>
          <w:szCs w:val="28"/>
          <w:highlight w:val="none"/>
          <w:lang w:eastAsia="zh-CN"/>
        </w:rPr>
        <w:t>生产设备安全卫生设计总则</w:t>
      </w:r>
    </w:p>
    <w:p w14:paraId="1132770D">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15603 </w:t>
      </w:r>
      <w:r>
        <w:rPr>
          <w:rFonts w:hint="default" w:ascii="Times New Roman" w:hAnsi="Times New Roman" w:cs="Times New Roman"/>
          <w:sz w:val="28"/>
          <w:szCs w:val="28"/>
          <w:highlight w:val="none"/>
          <w:lang w:eastAsia="zh-CN"/>
        </w:rPr>
        <w:t>危险化学品仓库储存通则</w:t>
      </w:r>
    </w:p>
    <w:p w14:paraId="353A7056">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39800.1 </w:t>
      </w:r>
      <w:r>
        <w:rPr>
          <w:rFonts w:hint="default" w:ascii="Times New Roman" w:hAnsi="Times New Roman" w:cs="Times New Roman"/>
          <w:sz w:val="28"/>
          <w:szCs w:val="28"/>
          <w:highlight w:val="none"/>
          <w:lang w:eastAsia="zh-CN"/>
        </w:rPr>
        <w:t>个体防护装备配备规范 第</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部分：总则</w:t>
      </w:r>
    </w:p>
    <w:p w14:paraId="0D3D6CE8">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50016 </w:t>
      </w:r>
      <w:r>
        <w:rPr>
          <w:rFonts w:hint="default" w:ascii="Times New Roman" w:hAnsi="Times New Roman" w:cs="Times New Roman"/>
          <w:sz w:val="28"/>
          <w:szCs w:val="28"/>
          <w:highlight w:val="none"/>
          <w:lang w:eastAsia="zh-CN"/>
        </w:rPr>
        <w:t>建筑设计防火规范</w:t>
      </w:r>
    </w:p>
    <w:p w14:paraId="7B4ADAFB">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GB</w:t>
      </w:r>
      <w:bookmarkStart w:id="22" w:name="OLE_LINK5"/>
      <w:r>
        <w:rPr>
          <w:rFonts w:hint="default" w:ascii="Times New Roman" w:hAnsi="Times New Roman" w:cs="Times New Roman"/>
          <w:sz w:val="28"/>
          <w:szCs w:val="28"/>
          <w:highlight w:val="none"/>
          <w:lang w:val="en-US"/>
        </w:rPr>
        <w:t>/T</w:t>
      </w:r>
      <w:bookmarkEnd w:id="22"/>
      <w:r>
        <w:rPr>
          <w:rFonts w:hint="default" w:ascii="Times New Roman" w:hAnsi="Times New Roman" w:cs="Times New Roman"/>
          <w:sz w:val="28"/>
          <w:szCs w:val="28"/>
          <w:highlight w:val="none"/>
          <w:lang w:val="en-US"/>
        </w:rPr>
        <w:t xml:space="preserve"> 50034 </w:t>
      </w:r>
      <w:r>
        <w:rPr>
          <w:rFonts w:hint="default" w:ascii="Times New Roman" w:hAnsi="Times New Roman" w:cs="Times New Roman"/>
          <w:sz w:val="28"/>
          <w:szCs w:val="28"/>
          <w:highlight w:val="none"/>
          <w:lang w:eastAsia="zh-CN"/>
        </w:rPr>
        <w:t>建筑照明设计标准</w:t>
      </w:r>
    </w:p>
    <w:p w14:paraId="0A86C3F5">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3" w:name="_Toc207979913"/>
      <w:bookmarkStart w:id="24" w:name="_Toc97192966"/>
      <w:r>
        <w:rPr>
          <w:rFonts w:hint="default" w:ascii="Times New Roman" w:hAnsi="Times New Roman" w:cs="Times New Roman"/>
          <w:sz w:val="28"/>
          <w:szCs w:val="28"/>
          <w:highlight w:val="none"/>
          <w:lang w:eastAsia="zh-CN"/>
        </w:rPr>
        <w:t>术语和定义</w:t>
      </w:r>
      <w:bookmarkEnd w:id="23"/>
      <w:bookmarkEnd w:id="24"/>
    </w:p>
    <w:p w14:paraId="0E35C113">
      <w:pPr>
        <w:pStyle w:val="34"/>
        <w:widowControl/>
        <w:spacing w:line="360" w:lineRule="auto"/>
        <w:ind w:left="0" w:firstLine="420"/>
        <w:rPr>
          <w:rFonts w:hint="default" w:ascii="Times New Roman" w:hAnsi="Times New Roman" w:cs="Times New Roman"/>
          <w:sz w:val="28"/>
          <w:szCs w:val="28"/>
          <w:highlight w:val="none"/>
          <w:lang w:val="en-US"/>
        </w:rPr>
      </w:pPr>
      <w:bookmarkStart w:id="25" w:name="_Toc26986532"/>
      <w:bookmarkEnd w:id="25"/>
      <w:r>
        <w:rPr>
          <w:rFonts w:hint="default" w:ascii="Times New Roman" w:hAnsi="Times New Roman" w:cs="Times New Roman"/>
          <w:sz w:val="28"/>
          <w:szCs w:val="28"/>
          <w:highlight w:val="none"/>
          <w:lang w:eastAsia="zh-CN"/>
        </w:rPr>
        <w:t>下列术语和定义适用于本文件。</w:t>
      </w:r>
    </w:p>
    <w:p w14:paraId="5761BFB8">
      <w:pPr>
        <w:pStyle w:val="38"/>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皮鞋安全生产</w:t>
      </w:r>
      <w:r>
        <w:rPr>
          <w:rFonts w:hint="default" w:ascii="Times New Roman" w:hAnsi="Times New Roman" w:eastAsia="黑体" w:cs="Times New Roman"/>
          <w:sz w:val="28"/>
          <w:szCs w:val="28"/>
          <w:highlight w:val="none"/>
          <w:lang w:val="en-US"/>
        </w:rPr>
        <w:t xml:space="preserve"> leather shoe production</w:t>
      </w:r>
    </w:p>
    <w:p w14:paraId="3A3E87CE">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指从原材料、辅料加工开始，经过裁断、缝帮、制底、成型、整理等工序，最终制成皮鞋产品的全过程。</w:t>
      </w:r>
    </w:p>
    <w:p w14:paraId="232EE340">
      <w:pPr>
        <w:pStyle w:val="38"/>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危险化学品</w:t>
      </w:r>
      <w:r>
        <w:rPr>
          <w:rFonts w:hint="default" w:ascii="Times New Roman" w:hAnsi="Times New Roman" w:eastAsia="黑体" w:cs="Times New Roman"/>
          <w:sz w:val="28"/>
          <w:szCs w:val="28"/>
          <w:highlight w:val="none"/>
          <w:lang w:val="en-US"/>
        </w:rPr>
        <w:t xml:space="preserve"> hazardous chemicals</w:t>
      </w:r>
    </w:p>
    <w:p w14:paraId="601D3F33">
      <w:pPr>
        <w:pStyle w:val="34"/>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具有毒害、腐蚀、爆炸、燃烧、助燃等性质，对人体、设施、环境具有危害的剧毒化学品和其他化学品。</w:t>
      </w:r>
    </w:p>
    <w:p w14:paraId="759833F0">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207979914"/>
      <w:r>
        <w:rPr>
          <w:rFonts w:hint="default" w:ascii="Times New Roman" w:hAnsi="Times New Roman" w:cs="Times New Roman"/>
          <w:sz w:val="28"/>
          <w:szCs w:val="28"/>
          <w:highlight w:val="none"/>
          <w:lang w:eastAsia="zh-CN"/>
        </w:rPr>
        <w:t>基本要求</w:t>
      </w:r>
      <w:bookmarkEnd w:id="26"/>
    </w:p>
    <w:p w14:paraId="7D90BB95">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安全生产责任制应满足以下要求：</w:t>
      </w:r>
    </w:p>
    <w:p w14:paraId="2E00DDD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企业建立覆盖岗位的全员安全生产责任制，明确各岗位的责任人员、责任范围及考核标准；</w:t>
      </w:r>
    </w:p>
    <w:p w14:paraId="58C7A9B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责任制定期进行评估与考核。</w:t>
      </w:r>
    </w:p>
    <w:p w14:paraId="2CE83738">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企业应建立健全安全生产规章制度体系，至少应包括：</w:t>
      </w:r>
    </w:p>
    <w:p w14:paraId="49AF098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安全生产教育培训制度；</w:t>
      </w:r>
    </w:p>
    <w:p w14:paraId="3625BA7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安全风险分级管控制度；</w:t>
      </w:r>
    </w:p>
    <w:p w14:paraId="176453F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生产安全事故隐患排查治理制度；</w:t>
      </w:r>
    </w:p>
    <w:p w14:paraId="180C5AE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劳动防护用品管理制度；</w:t>
      </w:r>
    </w:p>
    <w:p w14:paraId="2AE3E67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危险作业管理制度；</w:t>
      </w:r>
    </w:p>
    <w:p w14:paraId="04B576B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设备设施安全管理制度；</w:t>
      </w:r>
    </w:p>
    <w:p w14:paraId="6140386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危险化学品安全管理制度；</w:t>
      </w:r>
    </w:p>
    <w:p w14:paraId="29ED780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安全生产奖惩制度。</w:t>
      </w:r>
    </w:p>
    <w:p w14:paraId="09AD6972">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安全管理组织与人员应满足以下要求：</w:t>
      </w:r>
    </w:p>
    <w:p w14:paraId="52E36F7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企业依法设置安全生产管理机构或配备专职安全生产管理人员；</w:t>
      </w:r>
    </w:p>
    <w:p w14:paraId="3CBEBAB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从业人员超过一百人，当设置安全生产管理机构或配备专职安全生产管理人员；</w:t>
      </w:r>
    </w:p>
    <w:p w14:paraId="2608802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安全生产管理人员具备与本单位生产经营活动相适应的安全生产知识和管理能力。</w:t>
      </w:r>
    </w:p>
    <w:p w14:paraId="2FAA257A">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安全生产投入应满足以下要求：</w:t>
      </w:r>
    </w:p>
    <w:p w14:paraId="05C09AF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企业保证安全生产条件所必需的资金投入，按规定提取和使用安全生产费用；</w:t>
      </w:r>
    </w:p>
    <w:p w14:paraId="08204F1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安全生产费用专项用于改善安全生产条件，不挪作他用。</w:t>
      </w:r>
    </w:p>
    <w:p w14:paraId="3A097E7A">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安全生产教育培训应满足以下要求：</w:t>
      </w:r>
    </w:p>
    <w:p w14:paraId="267E953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企业对从业人员进行安全生产教育和培训；</w:t>
      </w:r>
    </w:p>
    <w:p w14:paraId="5C38076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未经安全生产教育和培训合格的从业人员，不上岗作业；</w:t>
      </w:r>
    </w:p>
    <w:p w14:paraId="5D3AF4E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特种作业人员按照规定经专门的安全作业培训，取得相应资格后方可上岗作业；</w:t>
      </w:r>
    </w:p>
    <w:p w14:paraId="151E779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采用新工艺、新技术、新材料或使用新设备时，对从业人员进行专门的安全生产教育培训。</w:t>
      </w:r>
    </w:p>
    <w:p w14:paraId="4D5B2AD2">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安全风险管控与隐患排查应满足以下要求：</w:t>
      </w:r>
    </w:p>
    <w:p w14:paraId="293060F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企业建立安全风险辨识评估制度，定期开展风险辨识评估；</w:t>
      </w:r>
    </w:p>
    <w:p w14:paraId="31DF2FF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建立生产安全事故隐患排查治理制度，采取技术、管理措施；</w:t>
      </w:r>
    </w:p>
    <w:p w14:paraId="69FDF93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隐患排查治理情况当如实记录，向从业人员通报。</w:t>
      </w:r>
    </w:p>
    <w:p w14:paraId="23B4ADEF">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应急管理应满足以下要求：</w:t>
      </w:r>
    </w:p>
    <w:p w14:paraId="73F20BD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企业制定生产安全事故应急救援预案，定期组织演练；</w:t>
      </w:r>
    </w:p>
    <w:p w14:paraId="4958751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配备必要的应急救援器材、设备和物资，进行经常性维护、保养。</w:t>
      </w:r>
    </w:p>
    <w:p w14:paraId="4547EA64">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相关方安全管理应满足以下要求：</w:t>
      </w:r>
    </w:p>
    <w:p w14:paraId="3C5C276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企业将承租单位、外包施工单位等相关方纳入统一安全管理；</w:t>
      </w:r>
    </w:p>
    <w:p w14:paraId="05486FA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与相关方签订安全生产管理协议，明确各自的安全管理职责和措施。</w:t>
      </w:r>
    </w:p>
    <w:p w14:paraId="5394EB7F">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安全生产标准化建设应满足以下要求：</w:t>
      </w:r>
    </w:p>
    <w:p w14:paraId="168F168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企业按照安全生产标准化基本规范的要求，开展安全生产标准化建设；</w:t>
      </w:r>
    </w:p>
    <w:p w14:paraId="3F1C2A9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建立并保持安全生产管理体系，持续改进安全生产绩效。</w:t>
      </w:r>
    </w:p>
    <w:p w14:paraId="4AA4D2F6">
      <w:pPr>
        <w:pStyle w:val="39"/>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文件与记录管理应满足以下要求：</w:t>
      </w:r>
    </w:p>
    <w:p w14:paraId="63E46BE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企业建立安全生产文件与记录管理制度，明确管理职责和要求；</w:t>
      </w:r>
    </w:p>
    <w:p w14:paraId="548A638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妥善保存安全生产相关记录，包括但不限于：</w:t>
      </w:r>
    </w:p>
    <w:p w14:paraId="5B86D483">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教育培训；</w:t>
      </w:r>
    </w:p>
    <w:p w14:paraId="18FE3F78">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检查整改；</w:t>
      </w:r>
    </w:p>
    <w:p w14:paraId="67338714">
      <w:pPr>
        <w:pStyle w:val="42"/>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应急演练。</w:t>
      </w:r>
    </w:p>
    <w:p w14:paraId="2962641B">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7" w:name="_Toc207979915"/>
      <w:r>
        <w:rPr>
          <w:rFonts w:hint="default" w:ascii="Times New Roman" w:hAnsi="Times New Roman" w:cs="Times New Roman"/>
          <w:sz w:val="28"/>
          <w:szCs w:val="28"/>
          <w:highlight w:val="none"/>
          <w:lang w:eastAsia="zh-CN"/>
        </w:rPr>
        <w:t>作业环境</w:t>
      </w:r>
      <w:bookmarkEnd w:id="27"/>
    </w:p>
    <w:p w14:paraId="10FAEF59">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厂区布局</w:t>
      </w:r>
    </w:p>
    <w:p w14:paraId="464035C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厂区总平面布置应功能分区明确，生产区、仓储区、行政办公区及生活区宜相对独立设置。</w:t>
      </w:r>
    </w:p>
    <w:p w14:paraId="7039D37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厂区内道路应畅通，设置明显的交通标志标线，人流与物流通道宜分开设置，避免交叉干扰。</w:t>
      </w:r>
    </w:p>
    <w:p w14:paraId="513CC9E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厂区应保持整洁，无积水、油污及障碍物。</w:t>
      </w:r>
    </w:p>
    <w:p w14:paraId="76BC208B">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建筑安全</w:t>
      </w:r>
    </w:p>
    <w:p w14:paraId="119BA1A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生产厂房的安全出口数量、疏散楼梯宽度及疏散距离应符合</w:t>
      </w:r>
      <w:r>
        <w:rPr>
          <w:rFonts w:hint="default" w:ascii="Times New Roman" w:hAnsi="Times New Roman" w:cs="Times New Roman"/>
          <w:sz w:val="28"/>
          <w:szCs w:val="28"/>
          <w:highlight w:val="none"/>
          <w:lang w:val="en-US"/>
        </w:rPr>
        <w:t>GB 50016</w:t>
      </w:r>
      <w:r>
        <w:rPr>
          <w:rFonts w:hint="default" w:ascii="Times New Roman" w:hAnsi="Times New Roman" w:cs="Times New Roman"/>
          <w:sz w:val="28"/>
          <w:szCs w:val="28"/>
          <w:highlight w:val="none"/>
          <w:lang w:eastAsia="zh-CN"/>
        </w:rPr>
        <w:t>的要求。</w:t>
      </w:r>
    </w:p>
    <w:p w14:paraId="4404B61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厂房内所有安全出口和疏散通道应保持畅通，严禁占用、堵塞或封闭。</w:t>
      </w:r>
    </w:p>
    <w:p w14:paraId="2C0902F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有跌落风险的平台、通道、坑池边缘等场所，应设置牢固的防护栏杆或盖板，其高度及强度应符合</w:t>
      </w:r>
      <w:r>
        <w:rPr>
          <w:rFonts w:hint="default" w:ascii="Times New Roman" w:hAnsi="Times New Roman" w:cs="Times New Roman"/>
          <w:sz w:val="28"/>
          <w:szCs w:val="28"/>
          <w:highlight w:val="none"/>
          <w:lang w:val="en-US"/>
        </w:rPr>
        <w:t>GB 4053.3</w:t>
      </w:r>
      <w:r>
        <w:rPr>
          <w:rFonts w:hint="default" w:ascii="Times New Roman" w:hAnsi="Times New Roman" w:cs="Times New Roman"/>
          <w:sz w:val="28"/>
          <w:szCs w:val="28"/>
          <w:highlight w:val="none"/>
          <w:lang w:eastAsia="zh-CN"/>
        </w:rPr>
        <w:t>的要求。</w:t>
      </w:r>
    </w:p>
    <w:p w14:paraId="21FE71AA">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采光照明</w:t>
      </w:r>
    </w:p>
    <w:p w14:paraId="62C37C7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作业场所应充分利用自然光，采光不足的场所应配备人工照明。</w:t>
      </w:r>
    </w:p>
    <w:p w14:paraId="22FE919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照明应均匀明亮，避免眩光，精细作业工序的工作台面应增设局部照明。</w:t>
      </w:r>
    </w:p>
    <w:p w14:paraId="6491BEC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照明灯具的照度值符合</w:t>
      </w:r>
      <w:r>
        <w:rPr>
          <w:rFonts w:hint="default" w:ascii="Times New Roman" w:hAnsi="Times New Roman" w:cs="Times New Roman"/>
          <w:sz w:val="28"/>
          <w:szCs w:val="28"/>
          <w:highlight w:val="none"/>
          <w:lang w:val="en-US"/>
        </w:rPr>
        <w:t>GB/T 50034</w:t>
      </w:r>
      <w:r>
        <w:rPr>
          <w:rFonts w:hint="default" w:ascii="Times New Roman" w:hAnsi="Times New Roman" w:cs="Times New Roman"/>
          <w:sz w:val="28"/>
          <w:szCs w:val="28"/>
          <w:highlight w:val="none"/>
          <w:lang w:eastAsia="zh-CN"/>
        </w:rPr>
        <w:t>的相应作业场所要求，应急照明灯具应在正常照明失效时自动启用。</w:t>
      </w:r>
    </w:p>
    <w:p w14:paraId="3B1FF91A">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通风要求</w:t>
      </w:r>
    </w:p>
    <w:p w14:paraId="7201AC1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生产车间应保持良好的通风条件，优先采用自然通风。</w:t>
      </w:r>
    </w:p>
    <w:p w14:paraId="5866A3E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使用胶粘剂、处理剂、清洗剂等易挥发化学品的作业点，应设置有效的局部机械排风装置。</w:t>
      </w:r>
    </w:p>
    <w:p w14:paraId="1D1CF7E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产生粉尘的作业点应配备除尘装置。</w:t>
      </w:r>
    </w:p>
    <w:p w14:paraId="3A6A809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室内作业环境的温湿度宜符合卫生标准，及适宜的工作条件。</w:t>
      </w:r>
    </w:p>
    <w:p w14:paraId="3625A9CD">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作业现场</w:t>
      </w:r>
    </w:p>
    <w:p w14:paraId="5CE4ABB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应推行定置管理，物料、半成品、成品应划定区域存放，摆放整齐平稳，不应超高。</w:t>
      </w:r>
    </w:p>
    <w:p w14:paraId="0E026D5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生产作业区、通道、仓库等区域的地面应平整、坚固、防滑，无积水和油污。</w:t>
      </w:r>
    </w:p>
    <w:p w14:paraId="191A4F1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生产线上的物品传递、存放不应影响操作人员的安全和通行。</w:t>
      </w:r>
    </w:p>
    <w:p w14:paraId="075C259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生产过程中产生的边角废料应及时清理，放入指定容器。</w:t>
      </w:r>
    </w:p>
    <w:p w14:paraId="5B93B1EA">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安全通道</w:t>
      </w:r>
    </w:p>
    <w:p w14:paraId="7C3F6A3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车间内主通道、辅助通道宽度应满足安全通行和应急疏散的要求。</w:t>
      </w:r>
    </w:p>
    <w:p w14:paraId="2116E18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安全通道、出口和消防设施周围应划有醒目的标识线，严禁堆放任何物品。</w:t>
      </w:r>
    </w:p>
    <w:p w14:paraId="07B5810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应在存在危险因素的场所和设备上，设置符合</w:t>
      </w:r>
      <w:r>
        <w:rPr>
          <w:rFonts w:hint="default" w:ascii="Times New Roman" w:hAnsi="Times New Roman" w:cs="Times New Roman"/>
          <w:sz w:val="28"/>
          <w:szCs w:val="28"/>
          <w:highlight w:val="none"/>
          <w:lang w:val="en-US"/>
        </w:rPr>
        <w:t>GB 2894</w:t>
      </w:r>
      <w:r>
        <w:rPr>
          <w:rFonts w:hint="default" w:ascii="Times New Roman" w:hAnsi="Times New Roman" w:cs="Times New Roman"/>
          <w:sz w:val="28"/>
          <w:szCs w:val="28"/>
          <w:highlight w:val="none"/>
          <w:lang w:eastAsia="zh-CN"/>
        </w:rPr>
        <w:t>的安全警示标志和安全色。</w:t>
      </w:r>
    </w:p>
    <w:p w14:paraId="7FB4169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应急照明、疏散指示标志应清晰、完好，设置在醒目位置。</w:t>
      </w:r>
    </w:p>
    <w:p w14:paraId="5336210B">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207979916"/>
      <w:r>
        <w:rPr>
          <w:rFonts w:hint="default" w:ascii="Times New Roman" w:hAnsi="Times New Roman" w:cs="Times New Roman"/>
          <w:sz w:val="28"/>
          <w:szCs w:val="28"/>
          <w:highlight w:val="none"/>
          <w:lang w:eastAsia="zh-CN"/>
        </w:rPr>
        <w:t>生产设备</w:t>
      </w:r>
      <w:bookmarkEnd w:id="28"/>
    </w:p>
    <w:p w14:paraId="6501BAB7">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通用要求</w:t>
      </w:r>
    </w:p>
    <w:p w14:paraId="4D5C250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所有生产设备的设计、制造、安装和使用应符合安全人机工程学原则，其安全卫生要求应符合</w:t>
      </w:r>
      <w:bookmarkStart w:id="29" w:name="OLE_LINK3"/>
      <w:r>
        <w:rPr>
          <w:rFonts w:hint="default" w:ascii="Times New Roman" w:hAnsi="Times New Roman" w:cs="Times New Roman"/>
          <w:sz w:val="28"/>
          <w:szCs w:val="28"/>
          <w:highlight w:val="none"/>
          <w:lang w:val="en-US"/>
        </w:rPr>
        <w:t>GB 5083</w:t>
      </w:r>
      <w:bookmarkEnd w:id="29"/>
      <w:r>
        <w:rPr>
          <w:rFonts w:hint="default" w:ascii="Times New Roman" w:hAnsi="Times New Roman" w:cs="Times New Roman"/>
          <w:sz w:val="28"/>
          <w:szCs w:val="28"/>
          <w:highlight w:val="none"/>
          <w:lang w:eastAsia="zh-CN"/>
        </w:rPr>
        <w:t>的规定。</w:t>
      </w:r>
    </w:p>
    <w:p w14:paraId="5E213BD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设备的外露旋转、传动部件应安装牢固、有效的防护罩，且在设备运行时不应擅自拆除。</w:t>
      </w:r>
    </w:p>
    <w:p w14:paraId="5540D23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设备的高速运动部件、加工区域应配备可靠的安全防护装置，防护装置应符合</w:t>
      </w:r>
      <w:r>
        <w:rPr>
          <w:rFonts w:hint="default" w:ascii="Times New Roman" w:hAnsi="Times New Roman" w:cs="Times New Roman"/>
          <w:sz w:val="28"/>
          <w:szCs w:val="28"/>
          <w:highlight w:val="none"/>
          <w:lang w:val="en-US"/>
        </w:rPr>
        <w:t>GB 39800.1</w:t>
      </w:r>
      <w:r>
        <w:rPr>
          <w:rFonts w:hint="default" w:ascii="Times New Roman" w:hAnsi="Times New Roman" w:cs="Times New Roman"/>
          <w:sz w:val="28"/>
          <w:szCs w:val="28"/>
          <w:highlight w:val="none"/>
          <w:lang w:eastAsia="zh-CN"/>
        </w:rPr>
        <w:t>的要求。</w:t>
      </w:r>
    </w:p>
    <w:p w14:paraId="02529A8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设备应保持良好的工作状态，应建立并执行设备的日常检查、定期维护、保养和检修制度，并保存相关记录。</w:t>
      </w:r>
    </w:p>
    <w:p w14:paraId="0364F09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设备急停装置应灵敏、可靠，其形式应符合设备风险特征，且按钮应为红色蘑菇头式，设置在人员易于触及的位置。</w:t>
      </w:r>
    </w:p>
    <w:p w14:paraId="5A75774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设备的电气线路、元件和绝缘应完好无损，金属外壳应有可靠的接地或接零保护，符合安全用电要求。</w:t>
      </w:r>
    </w:p>
    <w:p w14:paraId="65BEAD27">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专用设备</w:t>
      </w:r>
    </w:p>
    <w:p w14:paraId="71C39F5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裁断机（下料机）</w:t>
      </w:r>
      <w:bookmarkStart w:id="30" w:name="OLE_LINK1"/>
      <w:r>
        <w:rPr>
          <w:rFonts w:hint="default" w:ascii="Times New Roman" w:hAnsi="Times New Roman" w:cs="Times New Roman"/>
          <w:sz w:val="28"/>
          <w:szCs w:val="28"/>
          <w:highlight w:val="none"/>
          <w:lang w:eastAsia="zh-CN"/>
        </w:rPr>
        <w:t>应满足以下要求</w:t>
      </w:r>
      <w:bookmarkEnd w:id="30"/>
      <w:r>
        <w:rPr>
          <w:rFonts w:hint="default" w:ascii="Times New Roman" w:hAnsi="Times New Roman" w:cs="Times New Roman"/>
          <w:sz w:val="28"/>
          <w:szCs w:val="28"/>
          <w:highlight w:val="none"/>
          <w:lang w:eastAsia="zh-CN"/>
        </w:rPr>
        <w:t>：</w:t>
      </w:r>
    </w:p>
    <w:p w14:paraId="064E3B6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液压式裁断机安装双手同步操作装置或光电保护装置；</w:t>
      </w:r>
    </w:p>
    <w:p w14:paraId="4260D2B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配备模具安全栓，在调试、更换模具时使用，防止上模意外落下；</w:t>
      </w:r>
    </w:p>
    <w:p w14:paraId="5511F13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严禁徒手在压板或模具下方取料、清料，使用磁吸手、镊子等专用工具。</w:t>
      </w:r>
    </w:p>
    <w:p w14:paraId="7A87FB5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片帮机、削边机应满足以下要求：</w:t>
      </w:r>
    </w:p>
    <w:p w14:paraId="7546A68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高速旋转的刀具装有强度足够的防护罩，其开口大小仅容工件通过；</w:t>
      </w:r>
    </w:p>
    <w:p w14:paraId="575E8F3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提供适用于不同厚度工件的止逆装置，防止工件被刀具带出伤人。</w:t>
      </w:r>
    </w:p>
    <w:p w14:paraId="7EADFC1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缝纫机（针车）应满足以下要求：</w:t>
      </w:r>
    </w:p>
    <w:p w14:paraId="5AD7DB5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皮带轮和电机装有防护罩；</w:t>
      </w:r>
    </w:p>
    <w:p w14:paraId="357B4F1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操作工位照明灯使用安全电压；</w:t>
      </w:r>
    </w:p>
    <w:p w14:paraId="6C6CD00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定期检查更换机针，防止断针飞溅。</w:t>
      </w:r>
    </w:p>
    <w:p w14:paraId="4AA1114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绷帮机应满足以下要求：</w:t>
      </w:r>
    </w:p>
    <w:p w14:paraId="5659438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气动系统无泄漏，压力表、安全阀定期校验；</w:t>
      </w:r>
    </w:p>
    <w:p w14:paraId="40B7544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夹钳、卡尺等夹持部位设置防护挡板，防止操作中夹伤手指。</w:t>
      </w:r>
    </w:p>
    <w:p w14:paraId="7CE1261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抛光机、砂轮机应满足以下要求：</w:t>
      </w:r>
    </w:p>
    <w:p w14:paraId="604516B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砂轮无裂纹、无破损，安装时配备坚固的防护罩和托架，其开口角度不过大；</w:t>
      </w:r>
    </w:p>
    <w:p w14:paraId="3464C4B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砂轮运转时，其圆周表面线速度不超过额定值；</w:t>
      </w:r>
    </w:p>
    <w:p w14:paraId="76EE821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操作者作业时佩戴防护眼镜和防尘口罩，并站在砂轮旋转方向的侧方。</w:t>
      </w:r>
    </w:p>
    <w:p w14:paraId="32369D9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压合机（包括前帮、后帮、定型、压底机）应满足以下要求：</w:t>
      </w:r>
    </w:p>
    <w:p w14:paraId="6B2A2A8C">
      <w:pPr>
        <w:pStyle w:val="40"/>
        <w:widowControl/>
        <w:numPr>
          <w:ilvl w:val="0"/>
          <w:numId w:val="3"/>
        </w:numPr>
        <w:spacing w:line="360" w:lineRule="auto"/>
        <w:rPr>
          <w:rFonts w:hint="default" w:ascii="Times New Roman" w:hAnsi="Times New Roman" w:cs="Times New Roman"/>
          <w:sz w:val="28"/>
          <w:szCs w:val="28"/>
          <w:highlight w:val="none"/>
          <w:lang w:val="en-US"/>
        </w:rPr>
      </w:pPr>
      <w:bookmarkStart w:id="31" w:name="OLE_LINK2"/>
      <w:r>
        <w:rPr>
          <w:rFonts w:hint="default" w:ascii="Times New Roman" w:hAnsi="Times New Roman" w:cs="Times New Roman"/>
          <w:sz w:val="28"/>
          <w:szCs w:val="28"/>
          <w:highlight w:val="none"/>
          <w:lang w:eastAsia="zh-CN"/>
        </w:rPr>
        <w:t>合模区域安装光电安全装置或双手操纵装置；</w:t>
      </w:r>
      <w:bookmarkEnd w:id="31"/>
    </w:p>
    <w:p w14:paraId="27D682D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液压系统无泄漏，压力保持稳定，安全阀工作可靠。</w:t>
      </w:r>
    </w:p>
    <w:p w14:paraId="4F890581">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注射机应满足以下要求：</w:t>
      </w:r>
    </w:p>
    <w:p w14:paraId="79F9989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料筒加热区域有高温警示和隔热防护；</w:t>
      </w:r>
    </w:p>
    <w:p w14:paraId="0759CF6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合模区域安装光电安全装置或双手操纵装置。</w:t>
      </w:r>
    </w:p>
    <w:p w14:paraId="5770C5D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烘箱、活化线应满足以下要求：</w:t>
      </w:r>
    </w:p>
    <w:p w14:paraId="6170280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设置超温报警和自动切断加热的装置；</w:t>
      </w:r>
    </w:p>
    <w:p w14:paraId="00558BF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烘箱周围及上方严禁堆放任何易燃物品；</w:t>
      </w:r>
    </w:p>
    <w:p w14:paraId="45997B1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烘箱内部使用防爆型电气元件。</w:t>
      </w:r>
    </w:p>
    <w:p w14:paraId="771FE555">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清洁维护</w:t>
      </w:r>
    </w:p>
    <w:p w14:paraId="37E932D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设备清洁保养应在完全停机并切断动力源后进行。</w:t>
      </w:r>
    </w:p>
    <w:p w14:paraId="260C11B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进行设备调试、维修、保养时，应执行“锁定</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挂牌”程序，防止误启动。</w:t>
      </w:r>
    </w:p>
    <w:p w14:paraId="42749BF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维修后，所有安全防护装置应恢复原状，并经确认无误后方可启动设备。</w:t>
      </w:r>
    </w:p>
    <w:p w14:paraId="418F0D2A">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207979917"/>
      <w:r>
        <w:rPr>
          <w:rFonts w:hint="default" w:ascii="Times New Roman" w:hAnsi="Times New Roman" w:cs="Times New Roman"/>
          <w:sz w:val="28"/>
          <w:szCs w:val="28"/>
          <w:highlight w:val="none"/>
          <w:lang w:eastAsia="zh-CN"/>
        </w:rPr>
        <w:t>生产工艺</w:t>
      </w:r>
      <w:bookmarkEnd w:id="32"/>
    </w:p>
    <w:p w14:paraId="42805826">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裁断工序</w:t>
      </w:r>
    </w:p>
    <w:p w14:paraId="21052EC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操作人员应熟悉裁断设备的性能和安全操作规程。</w:t>
      </w:r>
    </w:p>
    <w:p w14:paraId="5A0721F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铺料时，手应与裁断机压板保持安全距离。</w:t>
      </w:r>
    </w:p>
    <w:p w14:paraId="59B4503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严禁徒手在模具或压板下取放物料、清理边角料，应使用专业工具。</w:t>
      </w:r>
    </w:p>
    <w:p w14:paraId="0975BDC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更换刀模或模具时，应关闭设备电源并使用安全栓。</w:t>
      </w:r>
    </w:p>
    <w:p w14:paraId="23FF9DC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应及时清理工作台面和地面的废料，保持通道畅通，防止绊倒。</w:t>
      </w:r>
    </w:p>
    <w:p w14:paraId="42572F63">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缝帮工序</w:t>
      </w:r>
    </w:p>
    <w:p w14:paraId="3F06B3D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操作前应检查缝纫机针是否安装牢固，针杆、皮带轮防护罩是否完好。</w:t>
      </w:r>
    </w:p>
    <w:p w14:paraId="4AB67D2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操作时应集中注意力，手指不应置于机针正下方送料，宜使用专用助推工具。</w:t>
      </w:r>
    </w:p>
    <w:p w14:paraId="551D042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更换梭芯、清理线头或进行设备调试时，应关闭电源。</w:t>
      </w:r>
    </w:p>
    <w:p w14:paraId="675E2D9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严禁戴手套操作高速缝纫设备，防止手套线头被勾住导致机械卷入。</w:t>
      </w:r>
    </w:p>
    <w:p w14:paraId="010E38F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下班或长时间离开工位时，应切断电源。</w:t>
      </w:r>
    </w:p>
    <w:p w14:paraId="7ECD5FE9">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帮底成型工序</w:t>
      </w:r>
    </w:p>
    <w:p w14:paraId="5392392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刷胶与处理应满足以下要求：</w:t>
      </w:r>
    </w:p>
    <w:p w14:paraId="5E4D24F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刷胶作业在设有局部排风装置的指定区域内进行；</w:t>
      </w:r>
    </w:p>
    <w:p w14:paraId="0E7C962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开启化学品容器前轻摇并缓慢开启，避免液体溅出；</w:t>
      </w:r>
    </w:p>
    <w:p w14:paraId="4B23C98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盛放胶粘剂、处理剂的容器随用随开，用后立即盖紧，防止挥发；</w:t>
      </w:r>
    </w:p>
    <w:p w14:paraId="010FFE4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胶水、处理剂不慎溅到皮肤或眼睛时，立即用大量清水冲洗，并及时就医。</w:t>
      </w:r>
    </w:p>
    <w:p w14:paraId="059F5AB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烘干与活化应满足以下要求：</w:t>
      </w:r>
    </w:p>
    <w:p w14:paraId="2F014B5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严格按照工艺要求设置烘箱或活化线的温度和时间，严禁超温加热；</w:t>
      </w:r>
    </w:p>
    <w:p w14:paraId="7BE5449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工件进出烘箱时佩戴防烫手套；</w:t>
      </w:r>
    </w:p>
    <w:p w14:paraId="5720B89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烘箱内及周围严禁堆放易燃物品；</w:t>
      </w:r>
    </w:p>
    <w:p w14:paraId="29C31E7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定期清理烘箱内部积聚的挥发物和粉尘。</w:t>
      </w:r>
    </w:p>
    <w:p w14:paraId="01D23D3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绷帮应满足以下要求：</w:t>
      </w:r>
    </w:p>
    <w:p w14:paraId="06E1201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操作前检查气动系统有无泄漏，夹钳是否灵活可靠；</w:t>
      </w:r>
    </w:p>
    <w:p w14:paraId="45F59D7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放置鞋帮、内底时，手避开夹钳和卡尺的运动范围。</w:t>
      </w:r>
    </w:p>
    <w:p w14:paraId="18B7C6E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压合应满足以下要求：</w:t>
      </w:r>
    </w:p>
    <w:p w14:paraId="77B270B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设备启动前，确认双手或身体其他部位不在合模区内；</w:t>
      </w:r>
    </w:p>
    <w:p w14:paraId="728BD81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严禁屏蔽安全光栅、双手操作等安全装置。</w:t>
      </w:r>
    </w:p>
    <w:p w14:paraId="2E47CAE1">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整理工序</w:t>
      </w:r>
    </w:p>
    <w:p w14:paraId="69E5040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抛光</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打磨应满足以下要求：</w:t>
      </w:r>
    </w:p>
    <w:p w14:paraId="07A2E0F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操作前检查砂轮是否完好、安装是否牢固、防护罩是否到位；</w:t>
      </w:r>
    </w:p>
    <w:p w14:paraId="261D274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严禁戴手套操作，防止手套被旋转部件卷入；</w:t>
      </w:r>
    </w:p>
    <w:p w14:paraId="5ED056A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操作者佩戴防护眼镜、防尘口罩，并站在砂轮旋转方向的侧方；</w:t>
      </w:r>
    </w:p>
    <w:p w14:paraId="544E5C1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打磨力均匀，不应过度用力撞击砂轮。</w:t>
      </w:r>
    </w:p>
    <w:p w14:paraId="302FE41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烫印</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烙印应满足以下要求：</w:t>
      </w:r>
    </w:p>
    <w:p w14:paraId="4C4FC8E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操作前检查电烫斗温度控制是否准确、稳定；</w:t>
      </w:r>
    </w:p>
    <w:p w14:paraId="4A5DA14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取放烫印头时佩戴防烫手套；</w:t>
      </w:r>
    </w:p>
    <w:p w14:paraId="75CBD67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烫印设备使用后放置在专用的、隔热的架子上，避免灼伤或引发火灾。</w:t>
      </w:r>
    </w:p>
    <w:p w14:paraId="169B73CC">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包装工序</w:t>
      </w:r>
    </w:p>
    <w:p w14:paraId="0FE3A268">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使用电动打包机、裁切机时，应注意手与刀口的距离。</w:t>
      </w:r>
    </w:p>
    <w:p w14:paraId="0193A2F5">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包装材料应存放有序，包装区地面应保持整洁，防止绊倒。</w:t>
      </w:r>
    </w:p>
    <w:p w14:paraId="2F498D5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搬运成品箱时应遵循人体力学，避免扭伤或拉伤。</w:t>
      </w:r>
    </w:p>
    <w:p w14:paraId="3F6B46F8">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207979918"/>
      <w:r>
        <w:rPr>
          <w:rFonts w:hint="default" w:ascii="Times New Roman" w:hAnsi="Times New Roman" w:cs="Times New Roman"/>
          <w:sz w:val="28"/>
          <w:szCs w:val="28"/>
          <w:highlight w:val="none"/>
          <w:lang w:eastAsia="zh-CN"/>
        </w:rPr>
        <w:t>危险化学品管理</w:t>
      </w:r>
      <w:bookmarkEnd w:id="33"/>
    </w:p>
    <w:p w14:paraId="06131DFD">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管理制度</w:t>
      </w:r>
    </w:p>
    <w:p w14:paraId="653E9C0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企业应建立覆盖危险化学品以下全过程的安全管理制度：</w:t>
      </w:r>
    </w:p>
    <w:p w14:paraId="4463F94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采购；</w:t>
      </w:r>
    </w:p>
    <w:p w14:paraId="31EE743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w:t>
      </w:r>
    </w:p>
    <w:p w14:paraId="0C57957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验收；</w:t>
      </w:r>
    </w:p>
    <w:p w14:paraId="44306CF4">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w:t>
      </w:r>
    </w:p>
    <w:p w14:paraId="1175013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领取；</w:t>
      </w:r>
    </w:p>
    <w:p w14:paraId="4FAC072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w:t>
      </w:r>
    </w:p>
    <w:p w14:paraId="6EF2105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回收；</w:t>
      </w:r>
    </w:p>
    <w:p w14:paraId="54FB2CE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废弃处置。</w:t>
      </w:r>
    </w:p>
    <w:p w14:paraId="26947CE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企业应委托经考核合格的专业人员负责危险化学品的管理，管理人员应熟练掌握相关化学品的危险特性及应急处理措施。</w:t>
      </w:r>
    </w:p>
    <w:p w14:paraId="7C6934DB">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采购</w:t>
      </w:r>
    </w:p>
    <w:p w14:paraId="4688E46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采购危险化学品前，应向供应商索取符合国家标准的安全技术说明书和安全标签。</w:t>
      </w:r>
    </w:p>
    <w:p w14:paraId="09B993B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购入的危险化学品应进行验收，核对品名、规格、数量、安全标签及包装完整性，确认无误后方可入库。</w:t>
      </w:r>
    </w:p>
    <w:p w14:paraId="0F6507F4">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储存安全</w:t>
      </w:r>
    </w:p>
    <w:p w14:paraId="3012F448">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危险化学品应储存在专用仓库内，其设计、建筑结构和安全设施应符合</w:t>
      </w:r>
      <w:r>
        <w:rPr>
          <w:rFonts w:hint="default" w:ascii="Times New Roman" w:hAnsi="Times New Roman" w:cs="Times New Roman"/>
          <w:sz w:val="28"/>
          <w:szCs w:val="28"/>
          <w:highlight w:val="none"/>
          <w:lang w:val="en-US"/>
        </w:rPr>
        <w:t>GB 15603</w:t>
      </w:r>
      <w:r>
        <w:rPr>
          <w:rFonts w:hint="default" w:ascii="Times New Roman" w:hAnsi="Times New Roman" w:cs="Times New Roman"/>
          <w:sz w:val="28"/>
          <w:szCs w:val="28"/>
          <w:highlight w:val="none"/>
          <w:lang w:eastAsia="zh-CN"/>
        </w:rPr>
        <w:t>的要求。</w:t>
      </w:r>
    </w:p>
    <w:p w14:paraId="3C69141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危险化学品仓库应设置醒目的安全警示标志，并配备足量、适用的消防器材、泄漏应急处理设备和物资。</w:t>
      </w:r>
    </w:p>
    <w:p w14:paraId="1684B26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储存场所应保持阴凉、干燥、通风良好，并避免阳光直射。应设置机械通风装置，防止有害气体积聚。</w:t>
      </w:r>
    </w:p>
    <w:p w14:paraId="16635F6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化学品应分类、分区、分库储存，禁忌物料严禁混合存放。</w:t>
      </w:r>
    </w:p>
    <w:p w14:paraId="3B33DC5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仓库内严禁吸烟和使用明火，电气设施应采用防爆型。</w:t>
      </w:r>
    </w:p>
    <w:p w14:paraId="5D151BD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应严格控制仓库内的储存量，不应超过一个班次或一周的使用量。</w:t>
      </w:r>
    </w:p>
    <w:p w14:paraId="5411A8EB">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领取与使用</w:t>
      </w:r>
    </w:p>
    <w:p w14:paraId="0729DA9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车间领取危险化学品应执行“用多少、领多少”的原则，严格控制领取数量。</w:t>
      </w:r>
    </w:p>
    <w:p w14:paraId="3856A16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作业现场暂存的化学品数量不应超过一个班次的用量，且应存放在专用的防泄漏安全柜或通风良好的指定区域。</w:t>
      </w:r>
    </w:p>
    <w:p w14:paraId="23315BF3">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开启化学品容器时应使用专用工具，严禁野蛮操作。容器转移、分装时应在有防泄漏措施的托盘内进行。</w:t>
      </w:r>
    </w:p>
    <w:p w14:paraId="20F2A14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使用胶粘剂、处理剂、清洗剂等挥发性化学品的作业点，应设置局部强制通风设施。</w:t>
      </w:r>
    </w:p>
    <w:p w14:paraId="1621946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盛装化学品的容器在使用后应立即密闭，防止挥发和污染。</w:t>
      </w:r>
    </w:p>
    <w:p w14:paraId="5E8ACDA9">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信息培训</w:t>
      </w:r>
    </w:p>
    <w:p w14:paraId="44BE9C82">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危险化学品的容器包装上应贴有安全标签，标签内容应清晰、完整，无安全标签的化学品严禁使用。</w:t>
      </w:r>
    </w:p>
    <w:p w14:paraId="36A1A0C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企业应建立本单位所有危险化学品的“一书一签”档案，员工应易于获取和查阅。</w:t>
      </w:r>
    </w:p>
    <w:p w14:paraId="5912838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企业应对接触危险化学品的从业人员进行专门的安全教育和培训，使其了解所接触化学品的理化特性、健康危害、安全操作规程、泄漏处理及急救措施。</w:t>
      </w:r>
    </w:p>
    <w:p w14:paraId="114B77FA">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废弃物处置</w:t>
      </w:r>
    </w:p>
    <w:p w14:paraId="5A925B3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废弃的危险化学品及沾染化学品的废弃物应分类收集于专用的密闭容器中，并标明废弃物内容。</w:t>
      </w:r>
    </w:p>
    <w:p w14:paraId="10F3415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严禁随意倾倒、丢弃危险化学品及其废弃物，应交由具备相应资质的单位进行回收或无害化处置。</w:t>
      </w:r>
    </w:p>
    <w:p w14:paraId="1D30117D">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应急处理</w:t>
      </w:r>
    </w:p>
    <w:p w14:paraId="306C24E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使用、储存危险化学品的场所应配备相应的应急物资，如吸附材料、收集器、灭火器、洗眼器、应急喷淋装置等。</w:t>
      </w:r>
    </w:p>
    <w:p w14:paraId="2F498F7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发生泄漏时，应立即启动泄漏应急处理程序，迅速切断火源、疏散人员，并使用吸附材料回收，防止流入下水道。</w:t>
      </w:r>
    </w:p>
    <w:p w14:paraId="57C0239A">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应制定针对危险化学品火灾、泄漏、中毒等事故的现场处置方案，并定期组织演练。</w:t>
      </w:r>
    </w:p>
    <w:p w14:paraId="0E61E992">
      <w:pPr>
        <w:pStyle w:val="35"/>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207979919"/>
      <w:r>
        <w:rPr>
          <w:rFonts w:hint="default" w:ascii="Times New Roman" w:hAnsi="Times New Roman" w:cs="Times New Roman"/>
          <w:sz w:val="28"/>
          <w:szCs w:val="28"/>
          <w:highlight w:val="none"/>
          <w:lang w:eastAsia="zh-CN"/>
        </w:rPr>
        <w:t>仓储管理</w:t>
      </w:r>
      <w:bookmarkEnd w:id="34"/>
    </w:p>
    <w:p w14:paraId="4C124718">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通用要求</w:t>
      </w:r>
    </w:p>
    <w:p w14:paraId="07A0596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企业应建立并执行仓储安全管理制度，涵盖以下环节：</w:t>
      </w:r>
    </w:p>
    <w:p w14:paraId="0DDCC0D5">
      <w:pPr>
        <w:pStyle w:val="11"/>
        <w:keepNext w:val="0"/>
        <w:keepLines w:val="0"/>
        <w:widowControl/>
        <w:numPr>
          <w:ilvl w:val="0"/>
          <w:numId w:val="4"/>
        </w:numPr>
        <w:suppressLineNumbers w:val="0"/>
        <w:adjustRightInd/>
        <w:spacing w:before="0" w:beforeAutospacing="0" w:after="0" w:afterAutospacing="0" w:line="360" w:lineRule="auto"/>
        <w:ind w:left="851" w:right="0" w:hanging="426"/>
        <w:jc w:val="left"/>
        <w:rPr>
          <w:sz w:val="28"/>
          <w:szCs w:val="28"/>
          <w:lang w:val="en-US"/>
        </w:rPr>
      </w:pPr>
      <w:r>
        <w:rPr>
          <w:rFonts w:hint="eastAsia" w:ascii="宋体" w:hAnsi="Times New Roman" w:eastAsia="宋体" w:cs="Times New Roman"/>
          <w:kern w:val="0"/>
          <w:sz w:val="28"/>
          <w:szCs w:val="28"/>
          <w:lang w:val="en-US" w:eastAsia="zh-CN" w:bidi="ar"/>
        </w:rPr>
        <w:t>物品入库；</w:t>
      </w:r>
    </w:p>
    <w:p w14:paraId="65C94B0F">
      <w:pPr>
        <w:pStyle w:val="11"/>
        <w:keepNext w:val="0"/>
        <w:keepLines w:val="0"/>
        <w:widowControl/>
        <w:numPr>
          <w:ilvl w:val="0"/>
          <w:numId w:val="4"/>
        </w:numPr>
        <w:suppressLineNumbers w:val="0"/>
        <w:adjustRightInd/>
        <w:spacing w:before="0" w:beforeAutospacing="0" w:after="0" w:afterAutospacing="0" w:line="360" w:lineRule="auto"/>
        <w:ind w:left="851" w:right="0" w:hanging="426"/>
        <w:jc w:val="left"/>
        <w:rPr>
          <w:sz w:val="28"/>
          <w:szCs w:val="28"/>
          <w:lang w:val="en-US"/>
        </w:rPr>
      </w:pPr>
      <w:r>
        <w:rPr>
          <w:rFonts w:hint="eastAsia" w:ascii="宋体" w:hAnsi="Times New Roman" w:eastAsia="宋体" w:cs="Times New Roman"/>
          <w:kern w:val="0"/>
          <w:sz w:val="28"/>
          <w:szCs w:val="28"/>
          <w:lang w:val="en-US" w:eastAsia="zh-CN" w:bidi="ar"/>
        </w:rPr>
        <w:t>在库保管；</w:t>
      </w:r>
    </w:p>
    <w:p w14:paraId="113482DD">
      <w:pPr>
        <w:pStyle w:val="11"/>
        <w:keepNext w:val="0"/>
        <w:keepLines w:val="0"/>
        <w:widowControl/>
        <w:numPr>
          <w:ilvl w:val="0"/>
          <w:numId w:val="4"/>
        </w:numPr>
        <w:suppressLineNumbers w:val="0"/>
        <w:adjustRightInd/>
        <w:spacing w:before="0" w:beforeAutospacing="0" w:after="0" w:afterAutospacing="0" w:line="360" w:lineRule="auto"/>
        <w:ind w:left="851" w:right="0" w:hanging="426"/>
        <w:jc w:val="left"/>
        <w:rPr>
          <w:sz w:val="28"/>
          <w:szCs w:val="28"/>
          <w:lang w:val="en-US"/>
        </w:rPr>
      </w:pPr>
      <w:r>
        <w:rPr>
          <w:rFonts w:hint="eastAsia" w:ascii="宋体" w:hAnsi="Times New Roman" w:eastAsia="宋体" w:cs="Times New Roman"/>
          <w:kern w:val="0"/>
          <w:sz w:val="28"/>
          <w:szCs w:val="28"/>
          <w:lang w:val="en-US" w:eastAsia="zh-CN" w:bidi="ar"/>
        </w:rPr>
        <w:t>出库；</w:t>
      </w:r>
    </w:p>
    <w:p w14:paraId="336528DB">
      <w:pPr>
        <w:pStyle w:val="11"/>
        <w:keepNext w:val="0"/>
        <w:keepLines w:val="0"/>
        <w:widowControl/>
        <w:numPr>
          <w:ilvl w:val="0"/>
          <w:numId w:val="4"/>
        </w:numPr>
        <w:suppressLineNumbers w:val="0"/>
        <w:adjustRightInd/>
        <w:spacing w:before="0" w:beforeAutospacing="0" w:after="0" w:afterAutospacing="0" w:line="360" w:lineRule="auto"/>
        <w:ind w:left="851" w:right="0" w:hanging="426"/>
        <w:jc w:val="left"/>
        <w:rPr>
          <w:sz w:val="28"/>
          <w:szCs w:val="28"/>
          <w:lang w:val="en-US"/>
        </w:rPr>
      </w:pPr>
      <w:r>
        <w:rPr>
          <w:rFonts w:hint="eastAsia" w:ascii="宋体" w:hAnsi="Times New Roman" w:eastAsia="宋体" w:cs="Times New Roman"/>
          <w:kern w:val="0"/>
          <w:sz w:val="28"/>
          <w:szCs w:val="28"/>
          <w:lang w:val="en-US" w:eastAsia="zh-CN" w:bidi="ar"/>
        </w:rPr>
        <w:t>装卸；</w:t>
      </w:r>
    </w:p>
    <w:p w14:paraId="4E6BEF78">
      <w:pPr>
        <w:pStyle w:val="11"/>
        <w:keepNext w:val="0"/>
        <w:keepLines w:val="0"/>
        <w:widowControl/>
        <w:numPr>
          <w:ilvl w:val="0"/>
          <w:numId w:val="4"/>
        </w:numPr>
        <w:suppressLineNumbers w:val="0"/>
        <w:adjustRightInd/>
        <w:spacing w:before="0" w:beforeAutospacing="0" w:after="0" w:afterAutospacing="0" w:line="360" w:lineRule="auto"/>
        <w:ind w:left="851" w:right="0" w:hanging="426"/>
        <w:jc w:val="left"/>
        <w:rPr>
          <w:sz w:val="28"/>
          <w:szCs w:val="28"/>
          <w:lang w:val="en-US"/>
        </w:rPr>
      </w:pPr>
      <w:r>
        <w:rPr>
          <w:rFonts w:hint="eastAsia" w:ascii="宋体" w:hAnsi="Times New Roman" w:eastAsia="宋体" w:cs="Times New Roman"/>
          <w:kern w:val="0"/>
          <w:sz w:val="28"/>
          <w:szCs w:val="28"/>
          <w:lang w:val="en-US" w:eastAsia="zh-CN" w:bidi="ar"/>
        </w:rPr>
        <w:t>搬运；</w:t>
      </w:r>
    </w:p>
    <w:p w14:paraId="619A739F">
      <w:pPr>
        <w:pStyle w:val="11"/>
        <w:keepNext w:val="0"/>
        <w:keepLines w:val="0"/>
        <w:widowControl/>
        <w:numPr>
          <w:ilvl w:val="0"/>
          <w:numId w:val="4"/>
        </w:numPr>
        <w:suppressLineNumbers w:val="0"/>
        <w:adjustRightInd/>
        <w:spacing w:before="0" w:beforeAutospacing="0" w:after="0" w:afterAutospacing="0" w:line="360" w:lineRule="auto"/>
        <w:ind w:left="851" w:right="0" w:hanging="426"/>
        <w:jc w:val="left"/>
        <w:rPr>
          <w:rFonts w:hint="default" w:ascii="Times New Roman" w:hAnsi="Times New Roman" w:cs="Times New Roman"/>
          <w:sz w:val="28"/>
          <w:szCs w:val="28"/>
          <w:highlight w:val="none"/>
          <w:lang w:val="en-US"/>
        </w:rPr>
      </w:pPr>
      <w:r>
        <w:rPr>
          <w:rFonts w:hint="eastAsia" w:ascii="宋体" w:hAnsi="Times New Roman" w:eastAsia="宋体" w:cs="Times New Roman"/>
          <w:kern w:val="0"/>
          <w:sz w:val="28"/>
          <w:szCs w:val="28"/>
          <w:lang w:val="en-US" w:eastAsia="zh-CN" w:bidi="ar"/>
        </w:rPr>
        <w:t>仓库安全检查。</w:t>
      </w:r>
    </w:p>
    <w:p w14:paraId="74B57D20">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仓库管理人员应经过专门的安全培训，熟悉所管理物品的特性、储存要求及应急处理措施。</w:t>
      </w:r>
    </w:p>
    <w:p w14:paraId="37996EF9">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仓库布局</w:t>
      </w:r>
    </w:p>
    <w:p w14:paraId="64BAA92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仓库的建筑设计、耐火等级、层数、面积、防火间距及安全疏散通道应符合</w:t>
      </w:r>
      <w:r>
        <w:rPr>
          <w:rFonts w:hint="default" w:ascii="Times New Roman" w:hAnsi="Times New Roman" w:cs="Times New Roman"/>
          <w:sz w:val="28"/>
          <w:szCs w:val="28"/>
          <w:highlight w:val="none"/>
          <w:lang w:val="en-US"/>
        </w:rPr>
        <w:t>GB 50016</w:t>
      </w:r>
      <w:r>
        <w:rPr>
          <w:rFonts w:hint="default" w:ascii="Times New Roman" w:hAnsi="Times New Roman" w:cs="Times New Roman"/>
          <w:sz w:val="28"/>
          <w:szCs w:val="28"/>
          <w:highlight w:val="none"/>
          <w:lang w:eastAsia="zh-CN"/>
        </w:rPr>
        <w:t>的规定。</w:t>
      </w:r>
    </w:p>
    <w:p w14:paraId="03853E5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仓库内应功能分区明确，划设收货区、储存区、拣配区、发货区等，并设置清晰的区域标识。</w:t>
      </w:r>
    </w:p>
    <w:p w14:paraId="6C8866CC">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仓库内物品堆放应布局合理，不应影响照明、通风和消防设施的正常使用，主通道宽度不应小于</w:t>
      </w:r>
      <w:r>
        <w:rPr>
          <w:rFonts w:hint="default" w:ascii="Times New Roman" w:hAnsi="Times New Roman" w:cs="Times New Roman"/>
          <w:sz w:val="28"/>
          <w:szCs w:val="28"/>
          <w:highlight w:val="none"/>
          <w:lang w:val="en-US"/>
        </w:rPr>
        <w:t>2 m</w:t>
      </w:r>
      <w:r>
        <w:rPr>
          <w:rFonts w:hint="default" w:ascii="Times New Roman" w:hAnsi="Times New Roman" w:cs="Times New Roman"/>
          <w:sz w:val="28"/>
          <w:szCs w:val="28"/>
          <w:highlight w:val="none"/>
          <w:lang w:eastAsia="zh-CN"/>
        </w:rPr>
        <w:t>，支通道宽度不应小于</w:t>
      </w:r>
      <w:r>
        <w:rPr>
          <w:rFonts w:hint="default" w:ascii="Times New Roman" w:hAnsi="Times New Roman" w:cs="Times New Roman"/>
          <w:sz w:val="28"/>
          <w:szCs w:val="28"/>
          <w:highlight w:val="none"/>
          <w:lang w:val="en-US"/>
        </w:rPr>
        <w:t>0.8</w:t>
      </w:r>
      <w:bookmarkStart w:id="35" w:name="OLE_LINK4"/>
      <w:r>
        <w:rPr>
          <w:rFonts w:hint="default" w:ascii="Times New Roman" w:hAnsi="Times New Roman" w:cs="Times New Roman"/>
          <w:sz w:val="28"/>
          <w:szCs w:val="28"/>
          <w:highlight w:val="none"/>
          <w:lang w:val="en-US"/>
        </w:rPr>
        <w:t xml:space="preserve"> m</w:t>
      </w:r>
      <w:bookmarkEnd w:id="35"/>
      <w:r>
        <w:rPr>
          <w:rFonts w:hint="default" w:ascii="Times New Roman" w:hAnsi="Times New Roman" w:cs="Times New Roman"/>
          <w:sz w:val="28"/>
          <w:szCs w:val="28"/>
          <w:highlight w:val="none"/>
          <w:lang w:eastAsia="zh-CN"/>
        </w:rPr>
        <w:t>。</w:t>
      </w:r>
    </w:p>
    <w:p w14:paraId="0BF959C5">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物品储存管理</w:t>
      </w:r>
    </w:p>
    <w:p w14:paraId="7C1FFE2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物品应分类、分垛储存。物品储存应执行“五距”标准：</w:t>
      </w:r>
    </w:p>
    <w:p w14:paraId="08B1D09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垛距：货垛与货垛之间保持不少于</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的距离；</w:t>
      </w:r>
    </w:p>
    <w:p w14:paraId="620F2AAF">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墙距：货垛与仓库围墙、立柱之间保持不少于</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lang w:eastAsia="zh-CN"/>
        </w:rPr>
        <w:t>的距离；</w:t>
      </w:r>
    </w:p>
    <w:p w14:paraId="7566391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柱距：货垛与屋顶照明灯之间保持不少于</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lang w:eastAsia="zh-CN"/>
        </w:rPr>
        <w:t>的距离；</w:t>
      </w:r>
    </w:p>
    <w:p w14:paraId="0E65160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灯距：货垛与屋顶照明灯之间保持不少于</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lang w:eastAsia="zh-CN"/>
        </w:rPr>
        <w:t>的距离；</w:t>
      </w:r>
    </w:p>
    <w:p w14:paraId="55987D8C">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顶距：货垛与屋顶（或房梁）之间保持不少于</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的距离。</w:t>
      </w:r>
    </w:p>
    <w:p w14:paraId="72B78379">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物品堆放应整齐、稳固，高度不应超过包装物允许的承重极限和堆放高度限制，防止坍塌。</w:t>
      </w:r>
    </w:p>
    <w:p w14:paraId="75512641">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易燃易爆材料应单独存放在通风良好的专用区域，并远离热源和火源。</w:t>
      </w:r>
    </w:p>
    <w:p w14:paraId="5F63FB0B">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消防安全</w:t>
      </w:r>
    </w:p>
    <w:p w14:paraId="2456081D">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仓库内及周边区域严禁吸烟和使用明火。因特殊情况需进行动火作业时，应按规定办理动火审批手续，并落实现场监护和防护措施。</w:t>
      </w:r>
    </w:p>
    <w:p w14:paraId="0498EF0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仓库的消防设施、器材应配备齐全，设置醒目的标识，并定期进行检查和维护。</w:t>
      </w:r>
    </w:p>
    <w:p w14:paraId="6E3E05D4">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消防通道、安全出口应保持畅通，严禁任何形式的占用、堵塞或封闭。</w:t>
      </w:r>
    </w:p>
    <w:p w14:paraId="30026896">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仓库内敷设的电气线路应符合消防安全要求，不应私拉乱接，应使用套管保护。照明灯具应避开物品堆放区，下方不应存放物品。</w:t>
      </w:r>
    </w:p>
    <w:p w14:paraId="3DD2CB8F">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装卸搬运</w:t>
      </w:r>
    </w:p>
    <w:p w14:paraId="2F6410CB">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搬运物品时应遵循人体力学，轻拿轻放，防止扭伤、砸伤。搬运重物或大件物品时应多人配合。</w:t>
      </w:r>
    </w:p>
    <w:p w14:paraId="04AD32C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使用叉车、液压车等搬运设备时，操作人员应持证上岗。行驶时应平稳，不应超速、超载，货叉应降至安全高度。</w:t>
      </w:r>
    </w:p>
    <w:p w14:paraId="1E8DE02E">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叉车作业时，应注意周边环境和人员安全，严禁载人。货物堆放不应影响驾驶员视线。</w:t>
      </w:r>
    </w:p>
    <w:p w14:paraId="4DAE4DFC">
      <w:pPr>
        <w:pStyle w:val="37"/>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安全检查</w:t>
      </w:r>
    </w:p>
    <w:p w14:paraId="02034BB7">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仓库内应保持通风、干燥，防止物品受潮、霉变。应定期检查仓库的防雨、防潮、防虫蛀状况。</w:t>
      </w:r>
    </w:p>
    <w:p w14:paraId="204D9D9F">
      <w:pPr>
        <w:pStyle w:val="41"/>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应建立仓库日常安全检查和定期巡查制度，重点检查物品堆放稳定性、消防设施状态及电气安全等，及时消除事故隐患。</w:t>
      </w:r>
    </w:p>
    <w:p w14:paraId="1D4309D6">
      <w:pPr>
        <w:keepNext w:val="0"/>
        <w:keepLines w:val="0"/>
        <w:widowControl/>
        <w:suppressLineNumbers w:val="0"/>
        <w:spacing w:line="360" w:lineRule="auto"/>
        <w:jc w:val="left"/>
        <w:rPr>
          <w:rFonts w:hint="default" w:ascii="Times New Roman" w:hAnsi="Times New Roman" w:cs="Times New Roman"/>
          <w:sz w:val="28"/>
          <w:szCs w:val="28"/>
          <w:highlight w:val="none"/>
        </w:rPr>
      </w:pPr>
      <w:r>
        <w:rPr>
          <w:rFonts w:hint="default" w:ascii="Times New Roman" w:hAnsi="Times New Roman" w:eastAsia="宋体" w:cs="Times New Roman"/>
          <w:kern w:val="2"/>
          <w:sz w:val="28"/>
          <w:szCs w:val="28"/>
          <w:highlight w:val="none"/>
          <w:lang w:val="en-US" w:eastAsia="zh-CN" w:bidi="ar"/>
        </w:rPr>
        <w:t>下班前，仓库管理人员应对仓库进行巡视，关闭不必要的电源和门窗。</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6"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6"/>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7"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37"/>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8"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38"/>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皮鞋生产</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39"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39"/>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0"/>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1"/>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2"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2"/>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3"/>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4"/>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A9726"/>
    <w:multiLevelType w:val="multilevel"/>
    <w:tmpl w:val="86CA9726"/>
    <w:lvl w:ilvl="0" w:tentative="0">
      <w:start w:val="1"/>
      <w:numFmt w:val="none"/>
      <w:pStyle w:val="4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2"/>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BF831535"/>
    <w:multiLevelType w:val="multilevel"/>
    <w:tmpl w:val="BF831535"/>
    <w:lvl w:ilvl="0" w:tentative="0">
      <w:start w:val="1"/>
      <w:numFmt w:val="none"/>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2B5AF287"/>
    <w:multiLevelType w:val="multilevel"/>
    <w:tmpl w:val="2B5AF287"/>
    <w:lvl w:ilvl="0" w:tentative="0">
      <w:start w:val="1"/>
      <w:numFmt w:val="none"/>
      <w:suff w:val="nothing"/>
      <w:lvlText w:val="%1"/>
      <w:lvlJc w:val="left"/>
      <w:pPr>
        <w:ind w:left="0" w:firstLine="0"/>
      </w:pPr>
    </w:lvl>
    <w:lvl w:ilvl="1" w:tentative="0">
      <w:start w:val="1"/>
      <w:numFmt w:val="decimal"/>
      <w:pStyle w:val="35"/>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1"/>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4EF703A"/>
    <w:rsid w:val="169901DF"/>
    <w:rsid w:val="170D2EB2"/>
    <w:rsid w:val="18E71105"/>
    <w:rsid w:val="19312DFE"/>
    <w:rsid w:val="1F15287C"/>
    <w:rsid w:val="255B6B18"/>
    <w:rsid w:val="2C2D1EE2"/>
    <w:rsid w:val="2D467F37"/>
    <w:rsid w:val="2DAD6C8F"/>
    <w:rsid w:val="30067F5D"/>
    <w:rsid w:val="32D432E9"/>
    <w:rsid w:val="3AFC0F1D"/>
    <w:rsid w:val="3BDF00F2"/>
    <w:rsid w:val="40E14CE3"/>
    <w:rsid w:val="4E77301A"/>
    <w:rsid w:val="542D0422"/>
    <w:rsid w:val="57BF1D4F"/>
    <w:rsid w:val="663F4E49"/>
    <w:rsid w:val="67A80C44"/>
    <w:rsid w:val="6AA02B8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段"/>
    <w:basedOn w:val="1"/>
    <w:link w:val="36"/>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5">
    <w:name w:val="标准文件_章标题"/>
    <w:basedOn w:val="1"/>
    <w:next w:val="34"/>
    <w:qFormat/>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character" w:customStyle="1" w:styleId="36">
    <w:name w:val="标准文件_段 Char"/>
    <w:basedOn w:val="14"/>
    <w:link w:val="34"/>
    <w:uiPriority w:val="0"/>
    <w:rPr>
      <w:rFonts w:hint="eastAsia" w:ascii="宋体" w:hAnsi="Times New Roman" w:eastAsia="宋体" w:cs="宋体"/>
      <w:sz w:val="21"/>
    </w:rPr>
  </w:style>
  <w:style w:type="paragraph" w:customStyle="1" w:styleId="37">
    <w:name w:val="标准文件_一级条标题"/>
    <w:basedOn w:val="35"/>
    <w:next w:val="34"/>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8">
    <w:name w:val="标准文件_术语条一"/>
    <w:basedOn w:val="39"/>
    <w:next w:val="34"/>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paragraph" w:customStyle="1" w:styleId="39">
    <w:name w:val="标准文件_一级无标题"/>
    <w:basedOn w:val="37"/>
    <w:uiPriority w:val="0"/>
    <w:pPr>
      <w:keepNext w:val="0"/>
      <w:keepLines w:val="0"/>
      <w:widowControl/>
      <w:numPr>
        <w:ilvl w:val="2"/>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0">
    <w:name w:val="标准文件_一级项"/>
    <w:basedOn w:val="1"/>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1">
    <w:name w:val="标准文件_二级无标题"/>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2">
    <w:name w:val="标准文件_二级项2"/>
    <w:basedOn w:val="34"/>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5487</Words>
  <Characters>5614</Characters>
  <Lines>62</Lines>
  <Paragraphs>17</Paragraphs>
  <TotalTime>6</TotalTime>
  <ScaleCrop>false</ScaleCrop>
  <LinksUpToDate>false</LinksUpToDate>
  <CharactersWithSpaces>5685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2025-12-15T08:56:07Z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