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木制阀门模具通用技术规范</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木制阀门模具通用技术规范</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木制阀门模具通用技术规范</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51B6D426">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木制阀门模具是铸造行业生产阀门铸件不可或缺的工艺装备，其质量直接影响阀门产品的尺寸精度、表面质量和生产效率。当前，我国木模制造企业众多，但技术水平参差不齐，行业普遍存在一些亟待解决的问题：一是缺乏统一、明确的技术规范，导致模具设计、材料选用、制作工艺和检验标准混乱，质量波动大；二是对木材性能稳定性、结构设计合理性、关键尺寸精度控制等核心要求认识不清或执行不力，造成模具使用寿命短、铸件废品率高；三是与现代化铸造工艺的适配性不足，影响生产效率和铸造质量稳定性；四是环保和资源节约意识有待提升，缺乏对木材可持续利用和模具可维护性的规范指导。这些问题制约了阀门铸造整体水平的提升和行业的健康发展。</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木制阀门模具通用技术规范》团体标准的制定与实施具有重要的现实意义。首先，它为木模设计、制作、验收提供了统一的技术依据和操作指南，能有效规范行业行为，提升木模产品的一致性和可靠性，从根本上保障阀门铸件的质量。其次，标准通过明确规定材料技术要求、结构设计原则、关键尺寸精度、表面处理及检验方法等核心内容，引导企业采用先进技术和科学管理，提高模具的制作精度、使用寿命以及与铸造工艺的匹配度，从而降低生产成本和废品率。最后，标准的推广有助于推动木模制造向规范化、标准化和绿色化方向发展，促进资源高效利用和产业升级，增强我国阀门铸造产业链的整体竞争力。</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木制阀门模具通用技术规范</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木制阀门模具通用技术规范</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bookmarkStart w:id="11" w:name="_GoBack"/>
      <w:bookmarkEnd w:id="11"/>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8</w:t>
      </w:r>
      <w:r>
        <w:rPr>
          <w:rFonts w:ascii="Times New Roman" w:hAnsi="Times New Roman" w:cs="Times New Roman"/>
          <w:sz w:val="28"/>
          <w:szCs w:val="28"/>
        </w:rPr>
        <w:t>个部分，主要内容如下：</w:t>
      </w:r>
    </w:p>
    <w:p w14:paraId="2FDAAF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739A20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本文件规定了木制阀门模具的术语和定义、基本要求、技术要求、试验方法、检验规则、标志、包装、运输和贮存。</w:t>
      </w:r>
    </w:p>
    <w:p w14:paraId="7AE49A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本文件适用于木制阀门模具的生产、检验。</w:t>
      </w:r>
    </w:p>
    <w:p w14:paraId="2EFB06E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6F4507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647ABF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191 包装储运图示标志</w:t>
      </w:r>
    </w:p>
    <w:p w14:paraId="469DF5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1927.4 无疵小试样木材物理力学性质试验方法 第4部分：含水率测定</w:t>
      </w:r>
    </w:p>
    <w:p w14:paraId="34D991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2828.1 计数抽样检验程序 第1部分：按接收质量限（AQL）检索的逐批检验抽样计划</w:t>
      </w:r>
    </w:p>
    <w:p w14:paraId="19A9EA8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4822 锯材检验</w:t>
      </w:r>
    </w:p>
    <w:p w14:paraId="26965B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GB/T 6414 铸件 尺寸公差、几何公差与机械加工余量</w:t>
      </w:r>
    </w:p>
    <w:p w14:paraId="714650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18580 室内装饰装修材料 人造板及其制品中甲醛释放限量</w:t>
      </w:r>
    </w:p>
    <w:p w14:paraId="319CB1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635453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35124BD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19F3D0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木制阀门模具 wooden valve mold</w:t>
      </w:r>
    </w:p>
    <w:p w14:paraId="399EC2B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以木材为主要材料制成的，用于铸造金属阀门毛坯的成型工具，包含模腔、分型面、定位装置等结构。</w:t>
      </w:r>
    </w:p>
    <w:p w14:paraId="1AA173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3.2　</w:t>
      </w:r>
    </w:p>
    <w:p w14:paraId="3EE6259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分型面 parting surface</w:t>
      </w:r>
    </w:p>
    <w:p w14:paraId="1E3D29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模具中为取出铸件而设计的分离界面，通常由上下模或侧模的配合面构成。</w:t>
      </w:r>
    </w:p>
    <w:p w14:paraId="2B65B3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基本要求</w:t>
      </w:r>
    </w:p>
    <w:p w14:paraId="779207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木制阀门模具的设计与制造应满足特定阀门铸件的成型工艺要求，保证铸件尺寸精度、形状完整性及表面质量符合相应的阀门产品图样或技术协议的规定。</w:t>
      </w:r>
    </w:p>
    <w:p w14:paraId="38406C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模具应具备在其预定使用寿命周期内，稳定、可靠地完成造型作业的功能。其结构应便于造型操作、取模、组芯及后续的修型、涂料喷涂等工序。</w:t>
      </w:r>
    </w:p>
    <w:p w14:paraId="1A98E2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在满足功能、质量和寿命要求的前提下，模具的设计与制造宜考虑经济合理性，优化结构，合理选材，降低制造成本和使用维护成本。可考虑模具的标准化、系列化设计以提升复用率。</w:t>
      </w:r>
    </w:p>
    <w:p w14:paraId="763575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模具的设计、制造和使用应充分考虑操作人员的安全。模具结构应稳固，避免倾覆、夹伤等风险；表面及边缘宜进行适当处理，防止毛刺、尖角造成划伤；大型模具应考虑搬运、吊装的便利性与安全性。</w:t>
      </w:r>
    </w:p>
    <w:p w14:paraId="7BEE7F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模具材料的选择宜优先考虑可再生资源；制造和使用过程中产生的木屑、粉尘宜有相应的收集和处理措施；模具的最终处置应符合环保要求。</w:t>
      </w:r>
    </w:p>
    <w:p w14:paraId="079950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用于木材拼接、层压或贴面的粘合剂应具有足够的粘结强度、耐湿性、耐老化性，且固化后应无毒、无刺激性气味，不影响铸型质量。</w:t>
      </w:r>
    </w:p>
    <w:p w14:paraId="1FA99B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　当木材自身强度不足以满足结构要求时，可合理使用金属加强件。金属件应进行防锈处理，其材质和尺寸应保证必要的强度和刚度。</w:t>
      </w:r>
    </w:p>
    <w:p w14:paraId="48CD78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4.8　对于易磨损部位或需要提高表面光滑度处，宜施加耐磨层或保护涂层。涂层材料应具有良好的附着力和耐磨性，且不应与造型材料发生不良反应。</w:t>
      </w:r>
    </w:p>
    <w:p w14:paraId="0DA5F2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4.9　使用的钉子、螺钉、销钉等紧固件应规格适当，安装牢固，不应在造型过程中松动或脱落。</w:t>
      </w:r>
    </w:p>
    <w:p w14:paraId="324D16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4.10　模具制造应建立统一的加工基准面（线），确保各加工面的相对位置精度。</w:t>
      </w:r>
    </w:p>
    <w:p w14:paraId="525CF61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模具工作表面的加工精度和表面粗糙度应满足铸件质量要求。非工作表面的精度和粗糙度可适当降低。</w:t>
      </w:r>
    </w:p>
    <w:p w14:paraId="5358B4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木材的锯割、刨削、铣削、钻孔、雕刻等加工应采用合适的工艺和设备，保证加工质量，避免过度加工导致木材强度下降或产生加工缺陷。</w:t>
      </w:r>
    </w:p>
    <w:p w14:paraId="0D061A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木材的拼接应牢固、平整。多块木材或部件的装配应位置准确，连接可靠，接缝处应严密，必要时进行填补和修整。</w:t>
      </w:r>
    </w:p>
    <w:p w14:paraId="3E3021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4.14　模具的工作表面应平整、光滑、无毛刺、无裂纹、无节孔缺陷。应进行必要的砂光处理。施加的保护涂层或耐磨层应均匀、完整、附着牢固。边缘和棱角宜进行倒钝处理。</w:t>
      </w:r>
    </w:p>
    <w:p w14:paraId="577214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4.15　模具加工完成后，应对关键尺寸和工作型面进行检验，确保符合设计要求。</w:t>
      </w:r>
    </w:p>
    <w:p w14:paraId="4E986F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技术要求</w:t>
      </w:r>
    </w:p>
    <w:p w14:paraId="48EB37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材料要求</w:t>
      </w:r>
    </w:p>
    <w:p w14:paraId="02BB0C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木制阀门模具应选用质地均匀、结构稳定、不易变形开裂的优质木材制作，宜选用硬度适中、纹理直顺的木材品种。</w:t>
      </w:r>
    </w:p>
    <w:p w14:paraId="5CC9F6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木材含水率应控制在8%~12%范围内，且同一模具所用木材含水率偏差不应超过±2%。</w:t>
      </w:r>
    </w:p>
    <w:p w14:paraId="4B1403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木材表面不应有腐朽、虫蛀、死节、树脂囊等影响模具使用性能和寿命的缺陷，活节尺寸不应超过木材厚度的1/3。</w:t>
      </w:r>
    </w:p>
    <w:p w14:paraId="59DAF9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模具关键受力部位宜采用经防腐、防潮处理的木材或复合材料，必要时可进行增强处理。</w:t>
      </w:r>
    </w:p>
    <w:p w14:paraId="409B98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5.1.5　模具用胶粘剂应具有良好的粘结强度和耐水性，固化后不应有有害气体释放。</w:t>
      </w:r>
    </w:p>
    <w:p w14:paraId="2C356A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结构要求</w:t>
      </w:r>
    </w:p>
    <w:p w14:paraId="18406C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模具结构设计应符合阀门产品图纸要求，尺寸公差宜控制在产品尺寸公差的1/3~1/5范围内。</w:t>
      </w:r>
    </w:p>
    <w:p w14:paraId="7A8F5E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模腔结构应保证阀门铸件的尺寸精度，关键部位的尺寸公差应满足GB/T 6414的CT7级要求。</w:t>
      </w:r>
    </w:p>
    <w:p w14:paraId="692302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模具分型面应平整、密合，合模后错位量不应超过0.5 mm，分型间隙不应超过0.2 mm。</w:t>
      </w:r>
    </w:p>
    <w:p w14:paraId="7F1FF8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模具活动部件应配合灵活、松紧适度，不应有卡滞或过度松动现象。</w:t>
      </w:r>
    </w:p>
    <w:p w14:paraId="08861F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5.2.5　模具型腔表面应光滑平整，过渡圆角应均匀一致，不应有尖角、毛刺等缺陷。</w:t>
      </w:r>
    </w:p>
    <w:p w14:paraId="1C7471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5.2.6　模具应设置合理的定位装置，确保合模准确，重复定位精度不应超过0.3 mm。</w:t>
      </w:r>
    </w:p>
    <w:p w14:paraId="3A391E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5.2.7　大型模具应设计合理的加强结构，确保在使用过程中不发生超过允许范围的变形。</w:t>
      </w:r>
    </w:p>
    <w:p w14:paraId="3C4BB1B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尺寸精度要求</w:t>
      </w:r>
    </w:p>
    <w:p w14:paraId="3EED48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模具型腔尺寸应考虑材料收缩率，收缩率取值应通过试验确定。</w:t>
      </w:r>
    </w:p>
    <w:p w14:paraId="300D63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模具同轴度公差不应超过产品同轴度公差的1/2。</w:t>
      </w:r>
    </w:p>
    <w:p w14:paraId="0CA131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模具平行度、垂直度等形位公差应符合产品相应要求的1/3~1/5。</w:t>
      </w:r>
    </w:p>
    <w:p w14:paraId="1EE372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模具装配后，各部件配合尺寸偏差不应影响阀门产品的装配和使用性能。</w:t>
      </w:r>
    </w:p>
    <w:p w14:paraId="16AA7E7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表面质量要求</w:t>
      </w:r>
    </w:p>
    <w:p w14:paraId="25C384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模具工作面粗糙度Ra值不应大于3.2 μm，非工作表面粗糙度Ra值不应大于12.5 μm。</w:t>
      </w:r>
    </w:p>
    <w:p w14:paraId="58AC31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模具表面不应有裂纹、划伤、压痕等影响产品表面质量的缺陷。</w:t>
      </w:r>
    </w:p>
    <w:p w14:paraId="60F676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模具工作面宜进行必要的表面处理，以提高耐磨性和脱模性能。</w:t>
      </w:r>
    </w:p>
    <w:p w14:paraId="6A3272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5.4.4　模具标识应清晰、牢固，内容至少应包括产品型号、模具编号、生产日期等信息。</w:t>
      </w:r>
    </w:p>
    <w:p w14:paraId="2C5236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性能要求</w:t>
      </w:r>
    </w:p>
    <w:p w14:paraId="69089C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模具应具有足够的强度和刚度，在正常使用条件下不应发生开裂、变形等失效现象。</w:t>
      </w:r>
    </w:p>
    <w:p w14:paraId="0A6345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模具应具有良好的尺寸稳定性，在使用过程中尺寸变化不应超过允许公差。</w:t>
      </w:r>
    </w:p>
    <w:p w14:paraId="1D6EDFD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模具使用寿命不应低于规定次数，在使用寿命期内应能保证产品质量稳定。</w:t>
      </w:r>
    </w:p>
    <w:p w14:paraId="418D79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5.5.4　模具应便于操作、维护和修理，必要时应设计合理的起吊、搬运装置。</w:t>
      </w:r>
    </w:p>
    <w:p w14:paraId="6B8265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5.5.5　模具应适应生产环境条件，在规定的温度、湿度范围内能正常工作。</w:t>
      </w:r>
    </w:p>
    <w:p w14:paraId="047E9B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安全与环保要求</w:t>
      </w:r>
    </w:p>
    <w:p w14:paraId="081D90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模具设计应考虑到操作人员的安全，不应有尖锐突出物等安全隐患。</w:t>
      </w:r>
    </w:p>
    <w:p w14:paraId="713481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模具材料及表面处理工艺应符合环保要求，木材处理剂及涂层有害物质限量应符合GB 18580要求。</w:t>
      </w:r>
    </w:p>
    <w:p w14:paraId="065BF4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模具在使用过程中不应释放有害气体或产生有害粉尘。</w:t>
      </w:r>
    </w:p>
    <w:p w14:paraId="10CAC4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5.6.4　模具报废后应便于回收处理，减少对环境的影响。</w:t>
      </w:r>
    </w:p>
    <w:p w14:paraId="4DD2B1D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试验方法</w:t>
      </w:r>
    </w:p>
    <w:p w14:paraId="26FCE0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材料检验</w:t>
      </w:r>
    </w:p>
    <w:p w14:paraId="4E3656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木材含水率应采用含水率测定仪按照GB/T 1927.4规定的方法进行测定，每批材料至少抽取3个试样。</w:t>
      </w:r>
    </w:p>
    <w:p w14:paraId="1593B7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木材缺陷检验应采用目测和量具相结合的方法，按照GB/T 4822规定进行。</w:t>
      </w:r>
    </w:p>
    <w:p w14:paraId="5EF9AF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胶粘剂性能应按照相应产品标准进行检验，至少包括粘结强度和耐水性测试。</w:t>
      </w:r>
    </w:p>
    <w:p w14:paraId="2BD46A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结构检验</w:t>
      </w:r>
    </w:p>
    <w:p w14:paraId="0F0CE3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应按GB/T 6414的CT7级公差表确定模腔关键尺寸的允许偏差，使用分辨率≤0.01 mm的三坐标测量机，在恒温环境下检测流道、密封面等关键区域。</w:t>
      </w:r>
    </w:p>
    <w:p w14:paraId="7C7368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平整度检验应将合模后的模具置于平台，用塞尺测量分型面与平台间的间隙，错位量检验应使用百分表贴合分型面边缘，测量上下模相对位移量，间隙检验应在合模状态下用塞尺沿分型面每200 mm取点测量，取最大值。</w:t>
      </w:r>
    </w:p>
    <w:p w14:paraId="728A15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应手动测试活动部件灵活性，目视触感检查型腔表面，百分表测量定位重复精度，及负载变形试验验证结构刚性。</w:t>
      </w:r>
    </w:p>
    <w:p w14:paraId="365CA4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尺寸精度检验</w:t>
      </w:r>
    </w:p>
    <w:p w14:paraId="1B1D45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模具主要尺寸应采用游标卡尺、千分尺等量具进行测量，精度不低于尺寸公差的1/5。</w:t>
      </w:r>
    </w:p>
    <w:p w14:paraId="4CF511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模具形位公差应采用三坐标测量仪、水平仪、直角尺等专用量具进行检测。</w:t>
      </w:r>
    </w:p>
    <w:p w14:paraId="70A81A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模具分型面错位量和间隙应采用塞尺或专用检具进行测量。</w:t>
      </w:r>
    </w:p>
    <w:p w14:paraId="7C0B2B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模具装配尺寸应采用功能量规或专用检具进行检验。</w:t>
      </w:r>
    </w:p>
    <w:p w14:paraId="53A308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表面质量检验</w:t>
      </w:r>
    </w:p>
    <w:p w14:paraId="307FCD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模具表面粗糙度应采用表面粗糙度仪或比对样块进行检测，每工作面至少测量3点。</w:t>
      </w:r>
    </w:p>
    <w:p w14:paraId="320409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模具表面缺陷应采用目视检查，必要时可借助放大镜或其它检测设备。</w:t>
      </w:r>
    </w:p>
    <w:p w14:paraId="5FF01E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模具表面处理质量应按照处理工艺规定的检验方法进行。</w:t>
      </w:r>
    </w:p>
    <w:p w14:paraId="19C737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性能试验</w:t>
      </w:r>
    </w:p>
    <w:p w14:paraId="0AB881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模具强度试验可采用模拟加载或实际使用的方式进行，观察是否发生开裂、变形等失效现象。</w:t>
      </w:r>
    </w:p>
    <w:p w14:paraId="633F355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模具尺寸稳定性试验应在规定环境条件下存放一定时间后，检测关键尺寸变化量。</w:t>
      </w:r>
    </w:p>
    <w:p w14:paraId="0AED4C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模具使用寿命试验可通过实际生产使用或加速试验的方式进行统计。</w:t>
      </w:r>
    </w:p>
    <w:p w14:paraId="4C9130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6.5.4　模具操作性能试验应通过实际操作检验其开合、定位、脱模等功能的顺畅性。</w:t>
      </w:r>
    </w:p>
    <w:p w14:paraId="78F793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安全与环保测试</w:t>
      </w:r>
    </w:p>
    <w:p w14:paraId="4CF2D8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模具材料有害物质含量应按GB 18580截取涂层试样，采用气相色谱法测定甲醛及VOCs释放量。。</w:t>
      </w:r>
    </w:p>
    <w:p w14:paraId="1B6DFB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模具安全性能应通过风险评估和实际操作检验进行验证。</w:t>
      </w:r>
    </w:p>
    <w:p w14:paraId="6542E6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检验规则</w:t>
      </w:r>
    </w:p>
    <w:p w14:paraId="5289CD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检验分类</w:t>
      </w:r>
    </w:p>
    <w:p w14:paraId="0B9989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产品检验分为出厂检验和型式检验。</w:t>
      </w:r>
    </w:p>
    <w:p w14:paraId="1C2CF2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组批</w:t>
      </w:r>
    </w:p>
    <w:p w14:paraId="035932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同一工艺、同一班次生产的产品应为一批。</w:t>
      </w:r>
    </w:p>
    <w:p w14:paraId="0FE48C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抽样方法</w:t>
      </w:r>
    </w:p>
    <w:p w14:paraId="4DE28E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应按GB/T 2828.1计数抽样检验程序一次性抽样方案的规定进行，检验水平为Ⅱ，合格质量水平（AQL）应取2.5，根据表1抽取样本。</w:t>
      </w:r>
    </w:p>
    <w:p w14:paraId="1E941B25">
      <w:pPr>
        <w:widowControl/>
        <w:numPr>
          <w:ilvl w:val="0"/>
          <w:numId w:val="2"/>
        </w:numPr>
        <w:tabs>
          <w:tab w:val="left" w:pos="0"/>
        </w:tabs>
        <w:spacing w:before="120" w:beforeLines="50" w:after="120" w:afterLines="50"/>
        <w:jc w:val="center"/>
        <w:rPr>
          <w:rFonts w:ascii="宋体" w:hAnsi="宋体" w:eastAsia="宋体" w:cs="Times New Roman"/>
          <w:kern w:val="0"/>
          <w:sz w:val="28"/>
          <w:szCs w:val="28"/>
        </w:rPr>
      </w:pPr>
      <w:r>
        <w:rPr>
          <w:rFonts w:ascii="宋体" w:hAnsi="宋体" w:eastAsia="宋体" w:cs="Times New Roman"/>
          <w:kern w:val="0"/>
          <w:sz w:val="28"/>
          <w:szCs w:val="28"/>
        </w:rPr>
        <w:t>抽样数量及判定</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13"/>
        <w:gridCol w:w="2128"/>
        <w:gridCol w:w="2185"/>
        <w:gridCol w:w="2185"/>
      </w:tblGrid>
      <w:tr w14:paraId="68D0E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33" w:type="dxa"/>
            <w:tcBorders>
              <w:top w:val="single" w:color="auto" w:sz="8" w:space="0"/>
              <w:bottom w:val="single" w:color="auto" w:sz="8" w:space="0"/>
            </w:tcBorders>
            <w:vAlign w:val="center"/>
          </w:tcPr>
          <w:p w14:paraId="32E223CC">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批量数</w:t>
            </w:r>
          </w:p>
        </w:tc>
        <w:tc>
          <w:tcPr>
            <w:tcW w:w="2333" w:type="dxa"/>
            <w:tcBorders>
              <w:top w:val="single" w:color="auto" w:sz="8" w:space="0"/>
              <w:bottom w:val="single" w:color="auto" w:sz="8" w:space="0"/>
            </w:tcBorders>
            <w:vAlign w:val="center"/>
          </w:tcPr>
          <w:p w14:paraId="28841C48">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样品数</w:t>
            </w:r>
          </w:p>
        </w:tc>
        <w:tc>
          <w:tcPr>
            <w:tcW w:w="2334" w:type="dxa"/>
            <w:tcBorders>
              <w:top w:val="single" w:color="auto" w:sz="8" w:space="0"/>
              <w:bottom w:val="single" w:color="auto" w:sz="8" w:space="0"/>
            </w:tcBorders>
            <w:vAlign w:val="center"/>
          </w:tcPr>
          <w:p w14:paraId="6F3DC175">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接收数（Ac）</w:t>
            </w:r>
          </w:p>
        </w:tc>
        <w:tc>
          <w:tcPr>
            <w:tcW w:w="2334" w:type="dxa"/>
            <w:tcBorders>
              <w:top w:val="single" w:color="auto" w:sz="8" w:space="0"/>
              <w:bottom w:val="single" w:color="auto" w:sz="8" w:space="0"/>
            </w:tcBorders>
            <w:vAlign w:val="center"/>
          </w:tcPr>
          <w:p w14:paraId="2F339466">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拒收数（Re）</w:t>
            </w:r>
          </w:p>
        </w:tc>
      </w:tr>
      <w:tr w14:paraId="01D0E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8" w:space="0"/>
            </w:tcBorders>
            <w:vAlign w:val="center"/>
          </w:tcPr>
          <w:p w14:paraId="3039BC3F">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26~50</w:t>
            </w:r>
          </w:p>
        </w:tc>
        <w:tc>
          <w:tcPr>
            <w:tcW w:w="2333" w:type="dxa"/>
            <w:tcBorders>
              <w:top w:val="single" w:color="auto" w:sz="8" w:space="0"/>
            </w:tcBorders>
            <w:vAlign w:val="center"/>
          </w:tcPr>
          <w:p w14:paraId="31F7814C">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8</w:t>
            </w:r>
          </w:p>
        </w:tc>
        <w:tc>
          <w:tcPr>
            <w:tcW w:w="2334" w:type="dxa"/>
            <w:tcBorders>
              <w:top w:val="single" w:color="auto" w:sz="8" w:space="0"/>
            </w:tcBorders>
            <w:vAlign w:val="center"/>
          </w:tcPr>
          <w:p w14:paraId="7F28143A">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1</w:t>
            </w:r>
          </w:p>
        </w:tc>
        <w:tc>
          <w:tcPr>
            <w:tcW w:w="2334" w:type="dxa"/>
            <w:tcBorders>
              <w:top w:val="single" w:color="auto" w:sz="8" w:space="0"/>
            </w:tcBorders>
            <w:vAlign w:val="center"/>
          </w:tcPr>
          <w:p w14:paraId="3F9CEA2F">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2</w:t>
            </w:r>
          </w:p>
        </w:tc>
      </w:tr>
      <w:tr w14:paraId="7DA60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45AD76E3">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51~90</w:t>
            </w:r>
          </w:p>
        </w:tc>
        <w:tc>
          <w:tcPr>
            <w:tcW w:w="2333" w:type="dxa"/>
            <w:vAlign w:val="center"/>
          </w:tcPr>
          <w:p w14:paraId="2AB6C1DA">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13</w:t>
            </w:r>
          </w:p>
        </w:tc>
        <w:tc>
          <w:tcPr>
            <w:tcW w:w="2334" w:type="dxa"/>
            <w:vAlign w:val="center"/>
          </w:tcPr>
          <w:p w14:paraId="40379B71">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2</w:t>
            </w:r>
          </w:p>
        </w:tc>
        <w:tc>
          <w:tcPr>
            <w:tcW w:w="2334" w:type="dxa"/>
            <w:vAlign w:val="center"/>
          </w:tcPr>
          <w:p w14:paraId="30531053">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3</w:t>
            </w:r>
          </w:p>
        </w:tc>
      </w:tr>
      <w:tr w14:paraId="719DC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6509DBEE">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91~150</w:t>
            </w:r>
          </w:p>
        </w:tc>
        <w:tc>
          <w:tcPr>
            <w:tcW w:w="2333" w:type="dxa"/>
            <w:vAlign w:val="center"/>
          </w:tcPr>
          <w:p w14:paraId="46472E93">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20</w:t>
            </w:r>
          </w:p>
        </w:tc>
        <w:tc>
          <w:tcPr>
            <w:tcW w:w="2334" w:type="dxa"/>
            <w:vAlign w:val="center"/>
          </w:tcPr>
          <w:p w14:paraId="33D29392">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3</w:t>
            </w:r>
          </w:p>
        </w:tc>
        <w:tc>
          <w:tcPr>
            <w:tcW w:w="2334" w:type="dxa"/>
            <w:vAlign w:val="center"/>
          </w:tcPr>
          <w:p w14:paraId="30741D89">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4</w:t>
            </w:r>
          </w:p>
        </w:tc>
      </w:tr>
      <w:tr w14:paraId="492EE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4DF145E0">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151~280</w:t>
            </w:r>
          </w:p>
        </w:tc>
        <w:tc>
          <w:tcPr>
            <w:tcW w:w="2333" w:type="dxa"/>
            <w:vAlign w:val="center"/>
          </w:tcPr>
          <w:p w14:paraId="3C12814F">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32</w:t>
            </w:r>
          </w:p>
        </w:tc>
        <w:tc>
          <w:tcPr>
            <w:tcW w:w="2334" w:type="dxa"/>
            <w:vAlign w:val="center"/>
          </w:tcPr>
          <w:p w14:paraId="2CF792DC">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5</w:t>
            </w:r>
          </w:p>
        </w:tc>
        <w:tc>
          <w:tcPr>
            <w:tcW w:w="2334" w:type="dxa"/>
            <w:vAlign w:val="center"/>
          </w:tcPr>
          <w:p w14:paraId="30C9CFA0">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6</w:t>
            </w:r>
          </w:p>
        </w:tc>
      </w:tr>
      <w:tr w14:paraId="1F455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287F0DB2">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281~500</w:t>
            </w:r>
          </w:p>
        </w:tc>
        <w:tc>
          <w:tcPr>
            <w:tcW w:w="2333" w:type="dxa"/>
            <w:vAlign w:val="center"/>
          </w:tcPr>
          <w:p w14:paraId="2D3D1D90">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50</w:t>
            </w:r>
          </w:p>
        </w:tc>
        <w:tc>
          <w:tcPr>
            <w:tcW w:w="2334" w:type="dxa"/>
            <w:vAlign w:val="center"/>
          </w:tcPr>
          <w:p w14:paraId="1CA3E41F">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7</w:t>
            </w:r>
          </w:p>
        </w:tc>
        <w:tc>
          <w:tcPr>
            <w:tcW w:w="2334" w:type="dxa"/>
            <w:vAlign w:val="center"/>
          </w:tcPr>
          <w:p w14:paraId="567345B0">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8</w:t>
            </w:r>
          </w:p>
        </w:tc>
      </w:tr>
      <w:tr w14:paraId="259AE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bottom w:val="single" w:color="auto" w:sz="8" w:space="0"/>
            </w:tcBorders>
            <w:vAlign w:val="center"/>
          </w:tcPr>
          <w:p w14:paraId="41E4F3DC">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501~1200</w:t>
            </w:r>
          </w:p>
        </w:tc>
        <w:tc>
          <w:tcPr>
            <w:tcW w:w="2333" w:type="dxa"/>
            <w:tcBorders>
              <w:bottom w:val="single" w:color="auto" w:sz="8" w:space="0"/>
            </w:tcBorders>
            <w:vAlign w:val="center"/>
          </w:tcPr>
          <w:p w14:paraId="076C16D1">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80</w:t>
            </w:r>
          </w:p>
        </w:tc>
        <w:tc>
          <w:tcPr>
            <w:tcW w:w="2334" w:type="dxa"/>
            <w:tcBorders>
              <w:bottom w:val="single" w:color="auto" w:sz="8" w:space="0"/>
            </w:tcBorders>
            <w:vAlign w:val="center"/>
          </w:tcPr>
          <w:p w14:paraId="58B405DF">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10</w:t>
            </w:r>
          </w:p>
        </w:tc>
        <w:tc>
          <w:tcPr>
            <w:tcW w:w="2334" w:type="dxa"/>
            <w:tcBorders>
              <w:bottom w:val="single" w:color="auto" w:sz="8" w:space="0"/>
            </w:tcBorders>
            <w:vAlign w:val="center"/>
          </w:tcPr>
          <w:p w14:paraId="0D5233D3">
            <w:pPr>
              <w:widowControl/>
              <w:autoSpaceDE w:val="0"/>
              <w:autoSpaceDN w:val="0"/>
              <w:jc w:val="center"/>
              <w:rPr>
                <w:rFonts w:ascii="宋体" w:hAnsi="宋体" w:eastAsia="宋体" w:cs="Times New Roman"/>
                <w:kern w:val="0"/>
                <w:sz w:val="28"/>
                <w:szCs w:val="28"/>
              </w:rPr>
            </w:pPr>
            <w:r>
              <w:rPr>
                <w:rFonts w:ascii="宋体" w:hAnsi="宋体" w:eastAsia="宋体" w:cs="Times New Roman"/>
                <w:kern w:val="0"/>
                <w:sz w:val="28"/>
                <w:szCs w:val="28"/>
              </w:rPr>
              <w:t>11</w:t>
            </w:r>
          </w:p>
        </w:tc>
      </w:tr>
      <w:tr w14:paraId="1BC54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4"/>
            <w:tcBorders>
              <w:top w:val="single" w:color="auto" w:sz="8" w:space="0"/>
              <w:bottom w:val="single" w:color="auto" w:sz="8" w:space="0"/>
            </w:tcBorders>
            <w:vAlign w:val="center"/>
          </w:tcPr>
          <w:p w14:paraId="43151B4E">
            <w:pPr>
              <w:pStyle w:val="35"/>
              <w:rPr>
                <w:rFonts w:hAnsi="宋体"/>
                <w:sz w:val="28"/>
                <w:szCs w:val="28"/>
              </w:rPr>
            </w:pPr>
            <w:r>
              <w:rPr>
                <w:rFonts w:hAnsi="宋体"/>
                <w:sz w:val="28"/>
                <w:szCs w:val="28"/>
              </w:rPr>
              <w:t>批量数26件以下时应全数检验。</w:t>
            </w:r>
          </w:p>
        </w:tc>
      </w:tr>
    </w:tbl>
    <w:p w14:paraId="05CCB3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出厂检验</w:t>
      </w:r>
    </w:p>
    <w:p w14:paraId="190E6F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本产品出厂前，应由工厂的品质部门按本文件规定逐批进行检验，检验合格后，附有（或加贴、印刷）质量合格证的产品方可出厂。</w:t>
      </w:r>
    </w:p>
    <w:p w14:paraId="59E481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型式检验</w:t>
      </w:r>
    </w:p>
    <w:p w14:paraId="2E4D31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型式检验应委托国家认可的质量监督检验机构进行。</w:t>
      </w:r>
    </w:p>
    <w:p w14:paraId="628280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有下列情况之一时，应进行型式检验：</w:t>
      </w:r>
    </w:p>
    <w:p w14:paraId="438CBD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新产品的试制鉴定时；</w:t>
      </w:r>
    </w:p>
    <w:p w14:paraId="0940A0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产品原料、工艺有较大改变，可能影响质量时；</w:t>
      </w:r>
    </w:p>
    <w:p w14:paraId="0F632E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正常生产时，每年进行周期性检验；</w:t>
      </w:r>
    </w:p>
    <w:p w14:paraId="6B0B2F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产品停产半年之后，恢复生产时；</w:t>
      </w:r>
    </w:p>
    <w:p w14:paraId="2720BA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出厂检验结果与上次型式检验有较大差异时；</w:t>
      </w:r>
    </w:p>
    <w:p w14:paraId="2DA1FA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国家质量监督机构提出型式检验要求时。</w:t>
      </w:r>
    </w:p>
    <w:p w14:paraId="3A06B4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判定规则</w:t>
      </w:r>
    </w:p>
    <w:p w14:paraId="2E3B5F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检验项目（见表2）全部符合本文件，判定为合格品。</w:t>
      </w:r>
    </w:p>
    <w:p w14:paraId="36C1A4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如有不符合本文件规定的项目，可加倍抽样对不合格项目进行复验，复验后仍有不符合本文件规定的项目时，判定整批产品为不合格品。</w:t>
      </w:r>
    </w:p>
    <w:p w14:paraId="3DC2D2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供需双方对产品质量发生争议时，可请仲裁机构检验，并以其结果为准。</w:t>
      </w:r>
    </w:p>
    <w:p w14:paraId="5DDD55BF">
      <w:pPr>
        <w:pStyle w:val="34"/>
        <w:spacing w:before="120" w:after="120"/>
        <w:rPr>
          <w:rFonts w:ascii="宋体" w:hAnsi="宋体" w:eastAsia="宋体"/>
          <w:sz w:val="28"/>
          <w:szCs w:val="28"/>
        </w:rPr>
      </w:pPr>
      <w:r>
        <w:rPr>
          <w:rFonts w:ascii="宋体" w:hAnsi="宋体" w:eastAsia="宋体"/>
          <w:sz w:val="28"/>
          <w:szCs w:val="28"/>
        </w:rPr>
        <w:t>检验项目</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49"/>
        <w:gridCol w:w="2445"/>
        <w:gridCol w:w="1260"/>
        <w:gridCol w:w="1260"/>
        <w:gridCol w:w="1248"/>
        <w:gridCol w:w="1249"/>
      </w:tblGrid>
      <w:tr w14:paraId="0C257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339" w:type="dxa"/>
            <w:vMerge w:val="restart"/>
            <w:tcBorders>
              <w:top w:val="single" w:color="auto" w:sz="8" w:space="0"/>
            </w:tcBorders>
            <w:vAlign w:val="center"/>
          </w:tcPr>
          <w:p w14:paraId="0F2F5C2D">
            <w:pPr>
              <w:pStyle w:val="36"/>
              <w:rPr>
                <w:rFonts w:hAnsi="宋体"/>
                <w:sz w:val="28"/>
                <w:szCs w:val="28"/>
              </w:rPr>
            </w:pPr>
            <w:r>
              <w:rPr>
                <w:rFonts w:hAnsi="宋体"/>
                <w:sz w:val="28"/>
                <w:szCs w:val="28"/>
              </w:rPr>
              <w:t>序号</w:t>
            </w:r>
          </w:p>
        </w:tc>
        <w:tc>
          <w:tcPr>
            <w:tcW w:w="5320" w:type="dxa"/>
            <w:gridSpan w:val="3"/>
            <w:tcBorders>
              <w:top w:val="single" w:color="auto" w:sz="8" w:space="0"/>
            </w:tcBorders>
          </w:tcPr>
          <w:p w14:paraId="26EFF162">
            <w:pPr>
              <w:pStyle w:val="36"/>
              <w:rPr>
                <w:rFonts w:hAnsi="宋体"/>
                <w:sz w:val="28"/>
                <w:szCs w:val="28"/>
              </w:rPr>
            </w:pPr>
            <w:r>
              <w:rPr>
                <w:rFonts w:hAnsi="宋体"/>
                <w:sz w:val="28"/>
                <w:szCs w:val="28"/>
              </w:rPr>
              <w:t>检验内容</w:t>
            </w:r>
          </w:p>
        </w:tc>
        <w:tc>
          <w:tcPr>
            <w:tcW w:w="2675" w:type="dxa"/>
            <w:gridSpan w:val="2"/>
            <w:tcBorders>
              <w:top w:val="single" w:color="auto" w:sz="8" w:space="0"/>
              <w:bottom w:val="single" w:color="auto" w:sz="8" w:space="0"/>
            </w:tcBorders>
            <w:vAlign w:val="center"/>
          </w:tcPr>
          <w:p w14:paraId="5E0BF792">
            <w:pPr>
              <w:pStyle w:val="36"/>
              <w:rPr>
                <w:rFonts w:hAnsi="宋体"/>
                <w:sz w:val="28"/>
                <w:szCs w:val="28"/>
              </w:rPr>
            </w:pPr>
            <w:r>
              <w:rPr>
                <w:rFonts w:hAnsi="宋体"/>
                <w:sz w:val="28"/>
                <w:szCs w:val="28"/>
              </w:rPr>
              <w:t>检验方式</w:t>
            </w:r>
          </w:p>
        </w:tc>
      </w:tr>
      <w:tr w14:paraId="0D5B6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Merge w:val="continue"/>
            <w:vAlign w:val="center"/>
          </w:tcPr>
          <w:p w14:paraId="13E02DA5">
            <w:pPr>
              <w:pStyle w:val="36"/>
              <w:rPr>
                <w:rFonts w:hAnsi="宋体"/>
                <w:sz w:val="28"/>
                <w:szCs w:val="28"/>
              </w:rPr>
            </w:pPr>
          </w:p>
        </w:tc>
        <w:tc>
          <w:tcPr>
            <w:tcW w:w="2646" w:type="dxa"/>
            <w:tcBorders>
              <w:top w:val="single" w:color="auto" w:sz="8" w:space="0"/>
            </w:tcBorders>
            <w:vAlign w:val="center"/>
          </w:tcPr>
          <w:p w14:paraId="1A43E045">
            <w:pPr>
              <w:pStyle w:val="36"/>
              <w:rPr>
                <w:rFonts w:hAnsi="宋体"/>
                <w:sz w:val="28"/>
                <w:szCs w:val="28"/>
              </w:rPr>
            </w:pPr>
            <w:r>
              <w:rPr>
                <w:rFonts w:hAnsi="宋体"/>
                <w:sz w:val="28"/>
                <w:szCs w:val="28"/>
              </w:rPr>
              <w:t>检验项目</w:t>
            </w:r>
          </w:p>
        </w:tc>
        <w:tc>
          <w:tcPr>
            <w:tcW w:w="1337" w:type="dxa"/>
            <w:tcBorders>
              <w:top w:val="single" w:color="auto" w:sz="8" w:space="0"/>
            </w:tcBorders>
            <w:vAlign w:val="center"/>
          </w:tcPr>
          <w:p w14:paraId="38FF7BED">
            <w:pPr>
              <w:pStyle w:val="36"/>
              <w:rPr>
                <w:rFonts w:hAnsi="宋体"/>
                <w:sz w:val="28"/>
                <w:szCs w:val="28"/>
              </w:rPr>
            </w:pPr>
            <w:r>
              <w:rPr>
                <w:rFonts w:hAnsi="宋体"/>
                <w:sz w:val="28"/>
                <w:szCs w:val="28"/>
              </w:rPr>
              <w:t>技术要求</w:t>
            </w:r>
          </w:p>
        </w:tc>
        <w:tc>
          <w:tcPr>
            <w:tcW w:w="1337" w:type="dxa"/>
            <w:tcBorders>
              <w:top w:val="single" w:color="auto" w:sz="8" w:space="0"/>
            </w:tcBorders>
            <w:vAlign w:val="center"/>
          </w:tcPr>
          <w:p w14:paraId="3C420A2A">
            <w:pPr>
              <w:pStyle w:val="36"/>
              <w:rPr>
                <w:rFonts w:hAnsi="宋体"/>
                <w:sz w:val="28"/>
                <w:szCs w:val="28"/>
              </w:rPr>
            </w:pPr>
            <w:r>
              <w:rPr>
                <w:rFonts w:hAnsi="宋体"/>
                <w:sz w:val="28"/>
                <w:szCs w:val="28"/>
              </w:rPr>
              <w:t>试验方法</w:t>
            </w:r>
          </w:p>
        </w:tc>
        <w:tc>
          <w:tcPr>
            <w:tcW w:w="1337" w:type="dxa"/>
            <w:tcBorders>
              <w:top w:val="single" w:color="auto" w:sz="8" w:space="0"/>
            </w:tcBorders>
            <w:vAlign w:val="center"/>
          </w:tcPr>
          <w:p w14:paraId="4C8CC9A5">
            <w:pPr>
              <w:pStyle w:val="36"/>
              <w:rPr>
                <w:rFonts w:hAnsi="宋体"/>
                <w:sz w:val="28"/>
                <w:szCs w:val="28"/>
              </w:rPr>
            </w:pPr>
            <w:r>
              <w:rPr>
                <w:rFonts w:hAnsi="宋体"/>
                <w:sz w:val="28"/>
                <w:szCs w:val="28"/>
              </w:rPr>
              <w:t>出厂检验</w:t>
            </w:r>
          </w:p>
        </w:tc>
        <w:tc>
          <w:tcPr>
            <w:tcW w:w="1338" w:type="dxa"/>
            <w:tcBorders>
              <w:top w:val="single" w:color="auto" w:sz="8" w:space="0"/>
            </w:tcBorders>
            <w:vAlign w:val="center"/>
          </w:tcPr>
          <w:p w14:paraId="5020975B">
            <w:pPr>
              <w:pStyle w:val="36"/>
              <w:rPr>
                <w:rFonts w:hAnsi="宋体"/>
                <w:sz w:val="28"/>
                <w:szCs w:val="28"/>
              </w:rPr>
            </w:pPr>
            <w:r>
              <w:rPr>
                <w:rFonts w:hAnsi="宋体"/>
                <w:sz w:val="28"/>
                <w:szCs w:val="28"/>
              </w:rPr>
              <w:t>型式检验</w:t>
            </w:r>
          </w:p>
        </w:tc>
      </w:tr>
      <w:tr w14:paraId="5A168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06364DFD">
            <w:pPr>
              <w:pStyle w:val="36"/>
              <w:rPr>
                <w:rFonts w:hAnsi="宋体"/>
                <w:sz w:val="28"/>
                <w:szCs w:val="28"/>
              </w:rPr>
            </w:pPr>
            <w:r>
              <w:rPr>
                <w:rFonts w:hAnsi="宋体"/>
                <w:sz w:val="28"/>
                <w:szCs w:val="28"/>
              </w:rPr>
              <w:t>1</w:t>
            </w:r>
          </w:p>
        </w:tc>
        <w:tc>
          <w:tcPr>
            <w:tcW w:w="2646" w:type="dxa"/>
            <w:vAlign w:val="center"/>
          </w:tcPr>
          <w:p w14:paraId="6C5A83A7">
            <w:pPr>
              <w:pStyle w:val="36"/>
              <w:rPr>
                <w:rFonts w:hAnsi="宋体"/>
                <w:sz w:val="28"/>
                <w:szCs w:val="28"/>
              </w:rPr>
            </w:pPr>
            <w:r>
              <w:rPr>
                <w:rFonts w:hAnsi="宋体"/>
                <w:sz w:val="28"/>
                <w:szCs w:val="28"/>
              </w:rPr>
              <w:t>材料</w:t>
            </w:r>
          </w:p>
        </w:tc>
        <w:tc>
          <w:tcPr>
            <w:tcW w:w="1337" w:type="dxa"/>
            <w:vAlign w:val="center"/>
          </w:tcPr>
          <w:p w14:paraId="677985F7">
            <w:pPr>
              <w:pStyle w:val="36"/>
              <w:rPr>
                <w:rFonts w:hAnsi="宋体"/>
                <w:sz w:val="28"/>
                <w:szCs w:val="28"/>
              </w:rPr>
            </w:pPr>
            <w:r>
              <w:rPr>
                <w:rFonts w:hAnsi="宋体"/>
                <w:sz w:val="28"/>
                <w:szCs w:val="28"/>
              </w:rPr>
              <w:t>5.1</w:t>
            </w:r>
          </w:p>
        </w:tc>
        <w:tc>
          <w:tcPr>
            <w:tcW w:w="1337" w:type="dxa"/>
            <w:vAlign w:val="center"/>
          </w:tcPr>
          <w:p w14:paraId="3C154EF0">
            <w:pPr>
              <w:pStyle w:val="36"/>
              <w:rPr>
                <w:rFonts w:hAnsi="宋体"/>
                <w:sz w:val="28"/>
                <w:szCs w:val="28"/>
              </w:rPr>
            </w:pPr>
            <w:r>
              <w:rPr>
                <w:rFonts w:hAnsi="宋体"/>
                <w:sz w:val="28"/>
                <w:szCs w:val="28"/>
              </w:rPr>
              <w:t>6.1</w:t>
            </w:r>
          </w:p>
        </w:tc>
        <w:tc>
          <w:tcPr>
            <w:tcW w:w="1337" w:type="dxa"/>
          </w:tcPr>
          <w:p w14:paraId="188230D8">
            <w:pPr>
              <w:pStyle w:val="36"/>
              <w:rPr>
                <w:rFonts w:hAnsi="宋体"/>
                <w:sz w:val="28"/>
                <w:szCs w:val="28"/>
              </w:rPr>
            </w:pPr>
            <w:r>
              <w:rPr>
                <w:rFonts w:hAnsi="宋体"/>
                <w:sz w:val="28"/>
                <w:szCs w:val="28"/>
              </w:rPr>
              <w:t>√</w:t>
            </w:r>
          </w:p>
        </w:tc>
        <w:tc>
          <w:tcPr>
            <w:tcW w:w="1338" w:type="dxa"/>
          </w:tcPr>
          <w:p w14:paraId="55989846">
            <w:pPr>
              <w:pStyle w:val="36"/>
              <w:rPr>
                <w:rFonts w:hAnsi="宋体"/>
                <w:sz w:val="28"/>
                <w:szCs w:val="28"/>
              </w:rPr>
            </w:pPr>
            <w:r>
              <w:rPr>
                <w:rFonts w:hAnsi="宋体"/>
                <w:sz w:val="28"/>
                <w:szCs w:val="28"/>
              </w:rPr>
              <w:t>√</w:t>
            </w:r>
          </w:p>
        </w:tc>
      </w:tr>
      <w:tr w14:paraId="3970E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2E07814D">
            <w:pPr>
              <w:pStyle w:val="36"/>
              <w:rPr>
                <w:rFonts w:hAnsi="宋体"/>
                <w:sz w:val="28"/>
                <w:szCs w:val="28"/>
              </w:rPr>
            </w:pPr>
            <w:r>
              <w:rPr>
                <w:rFonts w:hAnsi="宋体"/>
                <w:sz w:val="28"/>
                <w:szCs w:val="28"/>
              </w:rPr>
              <w:t>2</w:t>
            </w:r>
          </w:p>
        </w:tc>
        <w:tc>
          <w:tcPr>
            <w:tcW w:w="2646" w:type="dxa"/>
            <w:vAlign w:val="center"/>
          </w:tcPr>
          <w:p w14:paraId="70F831C0">
            <w:pPr>
              <w:pStyle w:val="36"/>
              <w:rPr>
                <w:rFonts w:hAnsi="宋体"/>
                <w:sz w:val="28"/>
                <w:szCs w:val="28"/>
              </w:rPr>
            </w:pPr>
            <w:r>
              <w:rPr>
                <w:rFonts w:hAnsi="宋体"/>
                <w:sz w:val="28"/>
                <w:szCs w:val="28"/>
              </w:rPr>
              <w:t>结构</w:t>
            </w:r>
          </w:p>
        </w:tc>
        <w:tc>
          <w:tcPr>
            <w:tcW w:w="1337" w:type="dxa"/>
            <w:vAlign w:val="center"/>
          </w:tcPr>
          <w:p w14:paraId="7C99773A">
            <w:pPr>
              <w:pStyle w:val="36"/>
              <w:rPr>
                <w:rFonts w:hAnsi="宋体"/>
                <w:sz w:val="28"/>
                <w:szCs w:val="28"/>
              </w:rPr>
            </w:pPr>
            <w:r>
              <w:rPr>
                <w:rFonts w:hAnsi="宋体"/>
                <w:sz w:val="28"/>
                <w:szCs w:val="28"/>
              </w:rPr>
              <w:t>5.2</w:t>
            </w:r>
          </w:p>
        </w:tc>
        <w:tc>
          <w:tcPr>
            <w:tcW w:w="1337" w:type="dxa"/>
            <w:vAlign w:val="center"/>
          </w:tcPr>
          <w:p w14:paraId="267FDC3D">
            <w:pPr>
              <w:pStyle w:val="36"/>
              <w:rPr>
                <w:rFonts w:hAnsi="宋体"/>
                <w:sz w:val="28"/>
                <w:szCs w:val="28"/>
              </w:rPr>
            </w:pPr>
            <w:r>
              <w:rPr>
                <w:rFonts w:hAnsi="宋体"/>
                <w:sz w:val="28"/>
                <w:szCs w:val="28"/>
              </w:rPr>
              <w:t>6.2</w:t>
            </w:r>
          </w:p>
        </w:tc>
        <w:tc>
          <w:tcPr>
            <w:tcW w:w="1337" w:type="dxa"/>
          </w:tcPr>
          <w:p w14:paraId="1230E6DB">
            <w:pPr>
              <w:pStyle w:val="36"/>
              <w:rPr>
                <w:rFonts w:hAnsi="宋体"/>
                <w:sz w:val="28"/>
                <w:szCs w:val="28"/>
              </w:rPr>
            </w:pPr>
            <w:r>
              <w:rPr>
                <w:rFonts w:hAnsi="宋体"/>
                <w:sz w:val="28"/>
                <w:szCs w:val="28"/>
              </w:rPr>
              <w:t>√</w:t>
            </w:r>
          </w:p>
        </w:tc>
        <w:tc>
          <w:tcPr>
            <w:tcW w:w="1338" w:type="dxa"/>
          </w:tcPr>
          <w:p w14:paraId="7915191A">
            <w:pPr>
              <w:pStyle w:val="36"/>
              <w:rPr>
                <w:rFonts w:hAnsi="宋体"/>
                <w:sz w:val="28"/>
                <w:szCs w:val="28"/>
              </w:rPr>
            </w:pPr>
            <w:r>
              <w:rPr>
                <w:rFonts w:hAnsi="宋体"/>
                <w:sz w:val="28"/>
                <w:szCs w:val="28"/>
              </w:rPr>
              <w:t>√</w:t>
            </w:r>
          </w:p>
        </w:tc>
      </w:tr>
      <w:tr w14:paraId="41F5C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3B6CA529">
            <w:pPr>
              <w:pStyle w:val="36"/>
              <w:rPr>
                <w:rFonts w:hAnsi="宋体"/>
                <w:sz w:val="28"/>
                <w:szCs w:val="28"/>
              </w:rPr>
            </w:pPr>
            <w:r>
              <w:rPr>
                <w:rFonts w:hAnsi="宋体"/>
                <w:sz w:val="28"/>
                <w:szCs w:val="28"/>
              </w:rPr>
              <w:t>3</w:t>
            </w:r>
          </w:p>
        </w:tc>
        <w:tc>
          <w:tcPr>
            <w:tcW w:w="2646" w:type="dxa"/>
            <w:vAlign w:val="center"/>
          </w:tcPr>
          <w:p w14:paraId="5208E312">
            <w:pPr>
              <w:pStyle w:val="36"/>
              <w:rPr>
                <w:rFonts w:hAnsi="宋体"/>
                <w:sz w:val="28"/>
                <w:szCs w:val="28"/>
              </w:rPr>
            </w:pPr>
            <w:r>
              <w:rPr>
                <w:rFonts w:hAnsi="宋体"/>
                <w:sz w:val="28"/>
                <w:szCs w:val="28"/>
              </w:rPr>
              <w:t>尺寸精度</w:t>
            </w:r>
          </w:p>
        </w:tc>
        <w:tc>
          <w:tcPr>
            <w:tcW w:w="1337" w:type="dxa"/>
            <w:vAlign w:val="center"/>
          </w:tcPr>
          <w:p w14:paraId="39FC06D3">
            <w:pPr>
              <w:pStyle w:val="36"/>
              <w:rPr>
                <w:rFonts w:hAnsi="宋体"/>
                <w:sz w:val="28"/>
                <w:szCs w:val="28"/>
              </w:rPr>
            </w:pPr>
            <w:r>
              <w:rPr>
                <w:rFonts w:hAnsi="宋体"/>
                <w:sz w:val="28"/>
                <w:szCs w:val="28"/>
              </w:rPr>
              <w:t>5.3</w:t>
            </w:r>
          </w:p>
        </w:tc>
        <w:tc>
          <w:tcPr>
            <w:tcW w:w="1337" w:type="dxa"/>
            <w:vAlign w:val="center"/>
          </w:tcPr>
          <w:p w14:paraId="149EABF7">
            <w:pPr>
              <w:pStyle w:val="36"/>
              <w:rPr>
                <w:rFonts w:hAnsi="宋体"/>
                <w:sz w:val="28"/>
                <w:szCs w:val="28"/>
              </w:rPr>
            </w:pPr>
            <w:r>
              <w:rPr>
                <w:rFonts w:hAnsi="宋体"/>
                <w:sz w:val="28"/>
                <w:szCs w:val="28"/>
              </w:rPr>
              <w:t>6.3</w:t>
            </w:r>
          </w:p>
        </w:tc>
        <w:tc>
          <w:tcPr>
            <w:tcW w:w="1337" w:type="dxa"/>
          </w:tcPr>
          <w:p w14:paraId="2637D802">
            <w:pPr>
              <w:pStyle w:val="36"/>
              <w:rPr>
                <w:rFonts w:hAnsi="宋体"/>
                <w:sz w:val="28"/>
                <w:szCs w:val="28"/>
              </w:rPr>
            </w:pPr>
            <w:r>
              <w:rPr>
                <w:rFonts w:hAnsi="宋体"/>
                <w:sz w:val="28"/>
                <w:szCs w:val="28"/>
              </w:rPr>
              <w:t>√</w:t>
            </w:r>
          </w:p>
        </w:tc>
        <w:tc>
          <w:tcPr>
            <w:tcW w:w="1338" w:type="dxa"/>
          </w:tcPr>
          <w:p w14:paraId="47667DD2">
            <w:pPr>
              <w:pStyle w:val="36"/>
              <w:rPr>
                <w:rFonts w:hAnsi="宋体"/>
                <w:sz w:val="28"/>
                <w:szCs w:val="28"/>
              </w:rPr>
            </w:pPr>
            <w:r>
              <w:rPr>
                <w:rFonts w:hAnsi="宋体"/>
                <w:sz w:val="28"/>
                <w:szCs w:val="28"/>
              </w:rPr>
              <w:t>√</w:t>
            </w:r>
          </w:p>
        </w:tc>
      </w:tr>
      <w:tr w14:paraId="04338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0D745781">
            <w:pPr>
              <w:pStyle w:val="36"/>
              <w:rPr>
                <w:rFonts w:hAnsi="宋体"/>
                <w:sz w:val="28"/>
                <w:szCs w:val="28"/>
              </w:rPr>
            </w:pPr>
            <w:r>
              <w:rPr>
                <w:rFonts w:hAnsi="宋体"/>
                <w:sz w:val="28"/>
                <w:szCs w:val="28"/>
              </w:rPr>
              <w:t>4</w:t>
            </w:r>
          </w:p>
        </w:tc>
        <w:tc>
          <w:tcPr>
            <w:tcW w:w="2646" w:type="dxa"/>
            <w:vAlign w:val="center"/>
          </w:tcPr>
          <w:p w14:paraId="434DB3D3">
            <w:pPr>
              <w:pStyle w:val="36"/>
              <w:rPr>
                <w:rFonts w:hAnsi="宋体"/>
                <w:sz w:val="28"/>
                <w:szCs w:val="28"/>
              </w:rPr>
            </w:pPr>
            <w:r>
              <w:rPr>
                <w:rFonts w:hAnsi="宋体"/>
                <w:sz w:val="28"/>
                <w:szCs w:val="28"/>
              </w:rPr>
              <w:t>表面质量</w:t>
            </w:r>
          </w:p>
        </w:tc>
        <w:tc>
          <w:tcPr>
            <w:tcW w:w="1337" w:type="dxa"/>
            <w:vAlign w:val="center"/>
          </w:tcPr>
          <w:p w14:paraId="16F875D4">
            <w:pPr>
              <w:pStyle w:val="36"/>
              <w:rPr>
                <w:rFonts w:hAnsi="宋体"/>
                <w:sz w:val="28"/>
                <w:szCs w:val="28"/>
              </w:rPr>
            </w:pPr>
            <w:r>
              <w:rPr>
                <w:rFonts w:hAnsi="宋体"/>
                <w:sz w:val="28"/>
                <w:szCs w:val="28"/>
              </w:rPr>
              <w:t>5.4</w:t>
            </w:r>
          </w:p>
        </w:tc>
        <w:tc>
          <w:tcPr>
            <w:tcW w:w="1337" w:type="dxa"/>
            <w:vAlign w:val="center"/>
          </w:tcPr>
          <w:p w14:paraId="54CD0721">
            <w:pPr>
              <w:pStyle w:val="36"/>
              <w:rPr>
                <w:rFonts w:hAnsi="宋体"/>
                <w:sz w:val="28"/>
                <w:szCs w:val="28"/>
              </w:rPr>
            </w:pPr>
            <w:r>
              <w:rPr>
                <w:rFonts w:hAnsi="宋体"/>
                <w:sz w:val="28"/>
                <w:szCs w:val="28"/>
              </w:rPr>
              <w:t>6.4</w:t>
            </w:r>
          </w:p>
        </w:tc>
        <w:tc>
          <w:tcPr>
            <w:tcW w:w="1337" w:type="dxa"/>
          </w:tcPr>
          <w:p w14:paraId="589750E8">
            <w:pPr>
              <w:pStyle w:val="36"/>
              <w:rPr>
                <w:rFonts w:hAnsi="宋体"/>
                <w:sz w:val="28"/>
                <w:szCs w:val="28"/>
              </w:rPr>
            </w:pPr>
            <w:r>
              <w:rPr>
                <w:rFonts w:hAnsi="宋体"/>
                <w:sz w:val="28"/>
                <w:szCs w:val="28"/>
              </w:rPr>
              <w:t>√</w:t>
            </w:r>
          </w:p>
        </w:tc>
        <w:tc>
          <w:tcPr>
            <w:tcW w:w="1338" w:type="dxa"/>
          </w:tcPr>
          <w:p w14:paraId="4007BEE8">
            <w:pPr>
              <w:pStyle w:val="36"/>
              <w:rPr>
                <w:rFonts w:hAnsi="宋体"/>
                <w:sz w:val="28"/>
                <w:szCs w:val="28"/>
              </w:rPr>
            </w:pPr>
            <w:r>
              <w:rPr>
                <w:rFonts w:hAnsi="宋体"/>
                <w:sz w:val="28"/>
                <w:szCs w:val="28"/>
              </w:rPr>
              <w:t>√</w:t>
            </w:r>
          </w:p>
        </w:tc>
      </w:tr>
      <w:tr w14:paraId="4C25D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4926CDB9">
            <w:pPr>
              <w:pStyle w:val="36"/>
              <w:rPr>
                <w:rFonts w:hAnsi="宋体"/>
                <w:sz w:val="28"/>
                <w:szCs w:val="28"/>
              </w:rPr>
            </w:pPr>
            <w:r>
              <w:rPr>
                <w:rFonts w:hAnsi="宋体"/>
                <w:sz w:val="28"/>
                <w:szCs w:val="28"/>
              </w:rPr>
              <w:t>5</w:t>
            </w:r>
          </w:p>
        </w:tc>
        <w:tc>
          <w:tcPr>
            <w:tcW w:w="2646" w:type="dxa"/>
            <w:vAlign w:val="center"/>
          </w:tcPr>
          <w:p w14:paraId="70AF079F">
            <w:pPr>
              <w:pStyle w:val="36"/>
              <w:rPr>
                <w:rFonts w:hAnsi="宋体"/>
                <w:sz w:val="28"/>
                <w:szCs w:val="28"/>
              </w:rPr>
            </w:pPr>
            <w:r>
              <w:rPr>
                <w:rFonts w:hAnsi="宋体"/>
                <w:sz w:val="28"/>
                <w:szCs w:val="28"/>
              </w:rPr>
              <w:t>性能</w:t>
            </w:r>
          </w:p>
        </w:tc>
        <w:tc>
          <w:tcPr>
            <w:tcW w:w="1337" w:type="dxa"/>
            <w:vAlign w:val="center"/>
          </w:tcPr>
          <w:p w14:paraId="05C461AA">
            <w:pPr>
              <w:pStyle w:val="36"/>
              <w:rPr>
                <w:rFonts w:hAnsi="宋体"/>
                <w:sz w:val="28"/>
                <w:szCs w:val="28"/>
              </w:rPr>
            </w:pPr>
            <w:r>
              <w:rPr>
                <w:rFonts w:hAnsi="宋体"/>
                <w:sz w:val="28"/>
                <w:szCs w:val="28"/>
              </w:rPr>
              <w:t>5.5</w:t>
            </w:r>
          </w:p>
        </w:tc>
        <w:tc>
          <w:tcPr>
            <w:tcW w:w="1337" w:type="dxa"/>
            <w:vAlign w:val="center"/>
          </w:tcPr>
          <w:p w14:paraId="59E376D2">
            <w:pPr>
              <w:pStyle w:val="36"/>
              <w:rPr>
                <w:rFonts w:hAnsi="宋体"/>
                <w:sz w:val="28"/>
                <w:szCs w:val="28"/>
              </w:rPr>
            </w:pPr>
            <w:r>
              <w:rPr>
                <w:rFonts w:hAnsi="宋体"/>
                <w:sz w:val="28"/>
                <w:szCs w:val="28"/>
              </w:rPr>
              <w:t>6.5</w:t>
            </w:r>
          </w:p>
        </w:tc>
        <w:tc>
          <w:tcPr>
            <w:tcW w:w="1337" w:type="dxa"/>
          </w:tcPr>
          <w:p w14:paraId="06523BBF">
            <w:pPr>
              <w:pStyle w:val="36"/>
              <w:rPr>
                <w:rFonts w:hAnsi="宋体"/>
                <w:sz w:val="28"/>
                <w:szCs w:val="28"/>
              </w:rPr>
            </w:pPr>
            <w:r>
              <w:rPr>
                <w:rFonts w:hAnsi="宋体"/>
                <w:sz w:val="28"/>
                <w:szCs w:val="28"/>
              </w:rPr>
              <w:t>—</w:t>
            </w:r>
          </w:p>
        </w:tc>
        <w:tc>
          <w:tcPr>
            <w:tcW w:w="1338" w:type="dxa"/>
          </w:tcPr>
          <w:p w14:paraId="1BCABF9E">
            <w:pPr>
              <w:pStyle w:val="36"/>
              <w:rPr>
                <w:rFonts w:hAnsi="宋体"/>
                <w:sz w:val="28"/>
                <w:szCs w:val="28"/>
              </w:rPr>
            </w:pPr>
            <w:r>
              <w:rPr>
                <w:rFonts w:hAnsi="宋体"/>
                <w:sz w:val="28"/>
                <w:szCs w:val="28"/>
              </w:rPr>
              <w:t>√</w:t>
            </w:r>
          </w:p>
        </w:tc>
      </w:tr>
      <w:tr w14:paraId="4C3B2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Align w:val="center"/>
          </w:tcPr>
          <w:p w14:paraId="61C983AC">
            <w:pPr>
              <w:pStyle w:val="36"/>
              <w:rPr>
                <w:rFonts w:hAnsi="宋体"/>
                <w:sz w:val="28"/>
                <w:szCs w:val="28"/>
              </w:rPr>
            </w:pPr>
            <w:r>
              <w:rPr>
                <w:rFonts w:hAnsi="宋体"/>
                <w:sz w:val="28"/>
                <w:szCs w:val="28"/>
              </w:rPr>
              <w:t>6</w:t>
            </w:r>
          </w:p>
        </w:tc>
        <w:tc>
          <w:tcPr>
            <w:tcW w:w="2646" w:type="dxa"/>
            <w:vAlign w:val="center"/>
          </w:tcPr>
          <w:p w14:paraId="0ACD46D6">
            <w:pPr>
              <w:pStyle w:val="36"/>
              <w:rPr>
                <w:rFonts w:hAnsi="宋体"/>
                <w:sz w:val="28"/>
                <w:szCs w:val="28"/>
              </w:rPr>
            </w:pPr>
            <w:r>
              <w:rPr>
                <w:rFonts w:hAnsi="宋体"/>
                <w:sz w:val="28"/>
                <w:szCs w:val="28"/>
              </w:rPr>
              <w:t>安全与环保</w:t>
            </w:r>
          </w:p>
        </w:tc>
        <w:tc>
          <w:tcPr>
            <w:tcW w:w="1337" w:type="dxa"/>
            <w:vAlign w:val="center"/>
          </w:tcPr>
          <w:p w14:paraId="0023420F">
            <w:pPr>
              <w:pStyle w:val="36"/>
              <w:rPr>
                <w:rFonts w:hAnsi="宋体"/>
                <w:sz w:val="28"/>
                <w:szCs w:val="28"/>
              </w:rPr>
            </w:pPr>
            <w:r>
              <w:rPr>
                <w:rFonts w:hAnsi="宋体"/>
                <w:sz w:val="28"/>
                <w:szCs w:val="28"/>
              </w:rPr>
              <w:t>5.6</w:t>
            </w:r>
          </w:p>
        </w:tc>
        <w:tc>
          <w:tcPr>
            <w:tcW w:w="1337" w:type="dxa"/>
            <w:vAlign w:val="center"/>
          </w:tcPr>
          <w:p w14:paraId="63A9E368">
            <w:pPr>
              <w:pStyle w:val="36"/>
              <w:rPr>
                <w:rFonts w:hAnsi="宋体"/>
                <w:sz w:val="28"/>
                <w:szCs w:val="28"/>
              </w:rPr>
            </w:pPr>
            <w:r>
              <w:rPr>
                <w:rFonts w:hAnsi="宋体"/>
                <w:sz w:val="28"/>
                <w:szCs w:val="28"/>
              </w:rPr>
              <w:t>6.6</w:t>
            </w:r>
          </w:p>
        </w:tc>
        <w:tc>
          <w:tcPr>
            <w:tcW w:w="1337" w:type="dxa"/>
          </w:tcPr>
          <w:p w14:paraId="07860233">
            <w:pPr>
              <w:pStyle w:val="36"/>
              <w:rPr>
                <w:rFonts w:hAnsi="宋体"/>
                <w:sz w:val="28"/>
                <w:szCs w:val="28"/>
              </w:rPr>
            </w:pPr>
            <w:r>
              <w:rPr>
                <w:rFonts w:hAnsi="宋体"/>
                <w:sz w:val="28"/>
                <w:szCs w:val="28"/>
              </w:rPr>
              <w:t>—</w:t>
            </w:r>
          </w:p>
        </w:tc>
        <w:tc>
          <w:tcPr>
            <w:tcW w:w="1338" w:type="dxa"/>
          </w:tcPr>
          <w:p w14:paraId="3B0F123A">
            <w:pPr>
              <w:pStyle w:val="36"/>
              <w:rPr>
                <w:rFonts w:hAnsi="宋体"/>
                <w:sz w:val="28"/>
                <w:szCs w:val="28"/>
              </w:rPr>
            </w:pPr>
            <w:r>
              <w:rPr>
                <w:rFonts w:hAnsi="宋体"/>
                <w:sz w:val="28"/>
                <w:szCs w:val="28"/>
              </w:rPr>
              <w:t>√</w:t>
            </w:r>
          </w:p>
        </w:tc>
      </w:tr>
      <w:tr w14:paraId="30414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6"/>
            <w:tcBorders>
              <w:top w:val="single" w:color="auto" w:sz="8" w:space="0"/>
              <w:bottom w:val="single" w:color="auto" w:sz="8" w:space="0"/>
            </w:tcBorders>
          </w:tcPr>
          <w:p w14:paraId="1386AA56">
            <w:pPr>
              <w:pStyle w:val="35"/>
              <w:rPr>
                <w:rFonts w:hAnsi="宋体"/>
                <w:sz w:val="28"/>
                <w:szCs w:val="28"/>
              </w:rPr>
            </w:pPr>
            <w:r>
              <w:rPr>
                <w:rFonts w:hAnsi="宋体"/>
                <w:sz w:val="28"/>
                <w:szCs w:val="28"/>
              </w:rPr>
              <w:t>“√”为必检项目，“—”为可选项目。</w:t>
            </w:r>
          </w:p>
        </w:tc>
      </w:tr>
    </w:tbl>
    <w:p w14:paraId="6057B9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标志、包装、运输和贮存</w:t>
      </w:r>
    </w:p>
    <w:p w14:paraId="20692E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标志</w:t>
      </w:r>
    </w:p>
    <w:p w14:paraId="7E3439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模具应在显著位置设置永久性标志，内容至少包括：</w:t>
      </w:r>
    </w:p>
    <w:p w14:paraId="349B09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产品型号及名称；</w:t>
      </w:r>
    </w:p>
    <w:p w14:paraId="3ACC2A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模具编号；</w:t>
      </w:r>
    </w:p>
    <w:p w14:paraId="458329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制造厂商名称或商标；</w:t>
      </w:r>
    </w:p>
    <w:p w14:paraId="53CF7D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制造日期；</w:t>
      </w:r>
    </w:p>
    <w:p w14:paraId="5A1F2A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适用阀门规格及材质。</w:t>
      </w:r>
    </w:p>
    <w:p w14:paraId="78BA6A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产品包装箱外表面应清晰标注以下内容：</w:t>
      </w:r>
    </w:p>
    <w:p w14:paraId="22934F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产品名称及型号；</w:t>
      </w:r>
    </w:p>
    <w:p w14:paraId="08603C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数量；</w:t>
      </w:r>
    </w:p>
    <w:p w14:paraId="6F0677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总质量；</w:t>
      </w:r>
    </w:p>
    <w:p w14:paraId="6619974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包装箱外形尺寸；</w:t>
      </w:r>
    </w:p>
    <w:p w14:paraId="7ECCA4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符合GB/T 191规定的储运图示标志；</w:t>
      </w:r>
    </w:p>
    <w:p w14:paraId="0BBE88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制造商名称、地址及联系方式。</w:t>
      </w:r>
    </w:p>
    <w:p w14:paraId="277BE1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包装</w:t>
      </w:r>
    </w:p>
    <w:p w14:paraId="56897E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模具包装前应清洁表面，关键部位应覆防潮纸或泡沫膜，防止划伤与腐蚀。</w:t>
      </w:r>
    </w:p>
    <w:p w14:paraId="73B759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包装方式应根据模具尺寸、重量及运输条件设计，并满足以下要求：</w:t>
      </w:r>
    </w:p>
    <w:p w14:paraId="5BF81E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小型模具：宜采用木箱包装，内衬防震材料；</w:t>
      </w:r>
    </w:p>
    <w:p w14:paraId="58B55B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大型模具：可采用框架式包装，外覆防水帆布或塑料薄膜，并用钢带加固；</w:t>
      </w:r>
    </w:p>
    <w:p w14:paraId="409088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活动部件：应拆卸单独固定，避免运输中碰撞损伤。</w:t>
      </w:r>
    </w:p>
    <w:p w14:paraId="03BEDD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随同产品提供的技术文件应放在塑料袋内并固定在箱子内壁上，内容应包括：</w:t>
      </w:r>
    </w:p>
    <w:p w14:paraId="4C45DA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产品合格证；</w:t>
      </w:r>
    </w:p>
    <w:p w14:paraId="2ECA82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装箱单；</w:t>
      </w:r>
    </w:p>
    <w:p w14:paraId="29FC82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产品使用说明书。</w:t>
      </w:r>
    </w:p>
    <w:p w14:paraId="5719C0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运输</w:t>
      </w:r>
    </w:p>
    <w:p w14:paraId="120DE4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产品在运输中不应受到剧烈的冲击、雨淋、暴晒及辐射。</w:t>
      </w:r>
    </w:p>
    <w:p w14:paraId="3A08E7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产品不应与有腐蚀性的有害物质混运。</w:t>
      </w:r>
    </w:p>
    <w:p w14:paraId="029A93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运输过程中应保证模具稳固放置：</w:t>
      </w:r>
    </w:p>
    <w:p w14:paraId="7F0FE4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不应与腐蚀性、尖锐物品混装；</w:t>
      </w:r>
    </w:p>
    <w:p w14:paraId="1FBEE6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多层堆码时下层包装应有足够承重强度，且堆高不宜超过2层；</w:t>
      </w:r>
    </w:p>
    <w:p w14:paraId="799FF2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型模具运输时应用专用支架固定，避免倾覆。</w:t>
      </w:r>
    </w:p>
    <w:p w14:paraId="0834C5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8.3.4　装卸作业应使用软质吊带或叉车柔性货叉，不应抛掷、翻滚或重力撞击。</w:t>
      </w:r>
    </w:p>
    <w:p w14:paraId="6B9808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8.3.5　在雨雪、高湿环境下运输时，应采取防雨防潮措施。</w:t>
      </w:r>
    </w:p>
    <w:p w14:paraId="427F86F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贮存</w:t>
      </w:r>
    </w:p>
    <w:p w14:paraId="31695D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贮存环境应符合以下要求：</w:t>
      </w:r>
    </w:p>
    <w:p w14:paraId="323D00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库房应干燥通风，相对湿度宜控制在40%~60%；</w:t>
      </w:r>
    </w:p>
    <w:p w14:paraId="6956C7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温度应保持稳定，范围5 ℃~35 ℃，避免阳光直射；</w:t>
      </w:r>
    </w:p>
    <w:p w14:paraId="412D49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远离热源、腐蚀性气体及易燃物品。</w:t>
      </w:r>
    </w:p>
    <w:p w14:paraId="016421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模具应离地放置于托盘或货架上，离地高度≥100 mm，分型面及型腔部位不应受压，大型模具宜采用立式存放，同规格模具可多层堆叠，但应用隔板分隔，堆叠高度≤1.5 m。</w:t>
      </w:r>
    </w:p>
    <w:p w14:paraId="32970147">
      <w:pPr>
        <w:spacing w:line="360" w:lineRule="auto"/>
        <w:rPr>
          <w:rFonts w:ascii="Times New Roman" w:hAnsi="Times New Roman" w:cs="Times New Roman"/>
          <w:sz w:val="28"/>
          <w:szCs w:val="28"/>
        </w:rPr>
      </w:pPr>
      <w:r>
        <w:rPr>
          <w:rFonts w:hint="eastAsia" w:ascii="Times New Roman" w:hAnsi="Times New Roman" w:cs="Times New Roman"/>
          <w:sz w:val="28"/>
          <w:szCs w:val="28"/>
        </w:rPr>
        <w:t>8.4.3　长期贮存的模具应每季度检查一次包装完好性，型腔表面应重新涂抹防锈剂或木材保护蜡，活动部件应进行润滑保养。</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木制阀门模具</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44359781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D+f2Y/BQIAAA0EAAAOAAAAZHJzL2Uyb0RvYy54bWytU8tu2zAQvBfo&#10;PxC815L8SFLBcpDGcFEgTQsk/QCKoiyiEpdY0pbcr++Sstw0veTQC7F87HBmOFzfDl3LjgqdBlPw&#10;bJZypoyESpt9wX887z7ccOa8MJVowaiCn5Tjt5v379a9zdUcGmgrhYxAjMt7W/DGe5sniZON6oSb&#10;gVWGNmvATnia4j6pUPSE3rXJPE2vkh6wsghSOUer23GTnxHxLYBQ11qqLchDp4wfUVG1wpMk12jr&#10;+CayrWsl/be6dsqztuCk1MeRLqG6DGOyWYt8j8I2Wp4piLdQeKWpE9rQpReorfCCHVD/A9VpieCg&#10;9jMJXTIKiY6Qiix95c1TI6yKWshqZy+mu/8HKx+P35HpipKwXC5WH69vsjlnRnT08s9q8OwTDCxL&#10;56vgVG9dTg1Pllr8QDvUFVU7+wDyp2MG7hth9uoOEfpGiYqYZqEzedE64rgAUvZfoaKbxMFDBBpq&#10;7IKNZAwjdHql0+WVAhtJi6vFMl2sOJO0lV2v5lfxFRORT80Wnf+soGOhKDhSCCK4OD44H8iIfDoS&#10;7jKw020bg9CavxboYFiJ5APfkbkfyuFsRgnViWQgjLmiX0VFA/iLs54yVXBDX4iz9oshI0L8pgKn&#10;opwKYSQ1FtxzNpb3fozpwaLeN4Q7WX1HZu10FBJcHTmcWVJKor5zokMMX87jqT+/e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P5/Zj8FAgAADQ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46260FA"/>
    <w:multiLevelType w:val="multilevel"/>
    <w:tmpl w:val="646260FA"/>
    <w:lvl w:ilvl="0" w:tentative="0">
      <w:start w:val="1"/>
      <w:numFmt w:val="decimal"/>
      <w:pStyle w:val="3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DBF04F4"/>
    <w:multiLevelType w:val="multilevel"/>
    <w:tmpl w:val="6DBF04F4"/>
    <w:lvl w:ilvl="0" w:tentative="0">
      <w:start w:val="1"/>
      <w:numFmt w:val="none"/>
      <w:pStyle w:val="3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C1F93"/>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5F58E6"/>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725BF"/>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51393"/>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8173D70"/>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正文表标题"/>
    <w:next w:val="1"/>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35">
    <w:name w:val="标准文件_注："/>
    <w:next w:val="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36">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5463</Words>
  <Characters>6011</Characters>
  <Lines>461</Lines>
  <Paragraphs>488</Paragraphs>
  <TotalTime>2</TotalTime>
  <ScaleCrop>false</ScaleCrop>
  <LinksUpToDate>false</LinksUpToDate>
  <CharactersWithSpaces>6192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2025-08-28T08:06:00Z</dcterms:created>
  <dc:creator>yao jiang</dc:creator>
  <cp:lastModifiedBy>Shimmer</cp:lastModifiedBy>
  <dcterms:modified xsi:type="dcterms:W3CDTF">2025-12-15T08:55:23Z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