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市政道路及桥梁工程监理实施细则</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市政道路及桥梁工程监理实施细则</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市政道路及桥梁工程监理实施细则</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1188C3F">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城市化进程的加速推进，城市规模不断扩大，人口日益集聚，对市政基础设施的需求与日俱增。市政道路及桥梁作为城市交通网络的关键组成部分，不仅承担着城市内部日常出行的交通流量，更是连接城市与外界、促进区域经济交流与合作的重要纽带。然而，部分既有道路及桥梁由于建设年代久远、设计标准较低、长期超负荷使用等原因，出现了不同程度的损坏和老化，严重影响了交通的顺畅与安全。为改善城市交通状况，提升城市形象和综合承载能力，满足人民群众日益增长的出行需求，本市政道路及桥梁工程应运而生，旨在通过科学合理的规划与建设，打造安全、高效、便捷的城市交通环境。</w:t>
      </w:r>
    </w:p>
    <w:p w14:paraId="3F15837C">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市政道路及桥梁工程建设过程中，面临着诸多复杂且亟待解决的问题。从工程前期来看，部分项目存在规划不够科学合理、与城市整体发展布局衔接不紧密的情况，导致后期建设与使用过程中出现功能不完善、交通拥堵等问题。在施工过程中，工程质量监管难度较大，一些施工单位为追求利润最大化，可能存在偷工减料、违规操作等行为，给工程质量埋下隐患；同时，施工安全管理也存在薄弱环节，施工现场安全事故时有发生，不仅影响工程进度，还威胁到施工人员的生命安全。此外，工程建设还可能对周边环境造成一定影响，如施工噪音、扬尘污染等，引发周边居民的不满和投诉，如何平衡工程建设与环境保护的关系也是亟待解决的重要问题。</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市政道路及桥梁工程监理实施细则的制定与实施具有重大而深远的意义。从工程本身来看，通过严格的监理工作，能够确保工程建设严格按照设计要求和施工规范进行，有效保障工程质量，提高道路及桥梁的使用寿命和安全性，为城市交通的稳定运行提供坚实保障。从社会层面而言，优质的道路及桥梁工程能够改善城市交通拥堵状况，提高居民出行效率，降低物流成本，促进城市经济的快速发展；同时，良好的交通环境也有助于提升城市的吸引力和竞争力，吸引更多的投资和人才，推动城市的可持续发展。此外，加强工程监理还有助于规范建筑市场秩序，促进建筑行业的健康发展，形成良好的行业风气，实现经济效益与社会效益的有机统一。</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市政道路及桥梁工程</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市政道路及桥梁工程</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市政道路及桥梁工程相关情况进行了深入的调查研究，同时广泛搜集相关标准和国外技术资料，进行了大量的研究分析、资料查证工作，确定了市政道路及桥梁工程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标准起草组进一步研究了市政道路及桥梁工程需要具备的特殊条件，明确了技术要求和指标，为标准的具体起草指明了方向。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在理论研究基础上，起草组在标准编制过程中充分借鉴已有的理论研究和实践成果，基于我国市场行情，经过数次修订，形成了《市政道路及桥梁工程监理实施细则》标准草案。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市政道路及桥梁工程监理实施细则》（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11</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bookmarkStart w:id="54" w:name="_GoBack"/>
      <w:bookmarkEnd w:id="54"/>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rPr>
        <w:t>个部分，主要内容如下：</w:t>
      </w:r>
    </w:p>
    <w:p w14:paraId="5DAD8552">
      <w:pPr>
        <w:pStyle w:val="39"/>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718930"/>
      <w:bookmarkStart w:id="3" w:name="_Toc24884211"/>
      <w:bookmarkStart w:id="4" w:name="_Toc24884218"/>
      <w:bookmarkStart w:id="5" w:name="_Toc204353392"/>
      <w:bookmarkStart w:id="6" w:name="_Toc17233325"/>
      <w:bookmarkStart w:id="7" w:name="_Toc97192964"/>
      <w:bookmarkStart w:id="8" w:name="_Toc26986530"/>
      <w:bookmarkStart w:id="9" w:name="_Toc26986771"/>
      <w:bookmarkStart w:id="10" w:name="_Toc17233333"/>
      <w:bookmarkStart w:id="11" w:name="_Toc26648465"/>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p>
    <w:p w14:paraId="098641AD">
      <w:pPr>
        <w:pStyle w:val="35"/>
        <w:widowControl/>
        <w:spacing w:line="360" w:lineRule="auto"/>
        <w:ind w:left="0" w:firstLine="420"/>
        <w:rPr>
          <w:rFonts w:hint="default" w:ascii="Times New Roman" w:hAnsi="Times New Roman" w:cs="Times New Roman"/>
          <w:sz w:val="28"/>
          <w:szCs w:val="28"/>
          <w:highlight w:val="none"/>
          <w:lang w:val="en-US"/>
        </w:rPr>
      </w:pPr>
      <w:bookmarkStart w:id="12" w:name="_Toc26648466"/>
      <w:bookmarkStart w:id="13" w:name="_Toc17233326"/>
      <w:bookmarkStart w:id="14" w:name="_Toc17233334"/>
      <w:bookmarkStart w:id="15" w:name="_Toc24884219"/>
      <w:bookmarkStart w:id="16" w:name="_Toc24884212"/>
      <w:r>
        <w:rPr>
          <w:rFonts w:hint="default" w:ascii="Times New Roman" w:hAnsi="Times New Roman" w:cs="Times New Roman"/>
          <w:sz w:val="28"/>
          <w:szCs w:val="28"/>
          <w:highlight w:val="none"/>
          <w:lang w:eastAsia="zh-CN"/>
        </w:rPr>
        <w:t>本文件规定了市政道路及桥梁工程监理实施的术语和定义、道路工程、桥梁工程内容。</w:t>
      </w:r>
    </w:p>
    <w:p w14:paraId="1BF4871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本文件适用于市政道路及桥梁工程监理实施。</w:t>
      </w:r>
    </w:p>
    <w:p w14:paraId="33C4AC18">
      <w:pPr>
        <w:pStyle w:val="39"/>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7" w:name="_Toc26986531"/>
      <w:bookmarkStart w:id="18" w:name="_Toc204353393"/>
      <w:bookmarkStart w:id="19" w:name="_Toc26986772"/>
      <w:bookmarkStart w:id="20" w:name="_Toc97192965"/>
      <w:bookmarkStart w:id="21" w:name="_Toc26718931"/>
      <w:r>
        <w:rPr>
          <w:rFonts w:hint="default" w:ascii="Times New Roman" w:hAnsi="Times New Roman" w:cs="Times New Roman"/>
          <w:sz w:val="28"/>
          <w:szCs w:val="28"/>
          <w:highlight w:val="none"/>
          <w:lang w:eastAsia="zh-CN"/>
        </w:rPr>
        <w:t>规范性引用文件</w:t>
      </w:r>
      <w:bookmarkEnd w:id="12"/>
      <w:bookmarkEnd w:id="13"/>
      <w:bookmarkEnd w:id="14"/>
      <w:bookmarkEnd w:id="15"/>
      <w:bookmarkEnd w:id="16"/>
      <w:bookmarkEnd w:id="17"/>
      <w:bookmarkEnd w:id="18"/>
      <w:bookmarkEnd w:id="19"/>
      <w:bookmarkEnd w:id="20"/>
      <w:bookmarkEnd w:id="21"/>
    </w:p>
    <w:p w14:paraId="27E9011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B597E9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6722 </w:t>
      </w:r>
      <w:r>
        <w:rPr>
          <w:rFonts w:hint="default" w:ascii="Times New Roman" w:hAnsi="Times New Roman" w:cs="Times New Roman"/>
          <w:sz w:val="28"/>
          <w:szCs w:val="28"/>
          <w:highlight w:val="none"/>
          <w:lang w:eastAsia="zh-CN"/>
        </w:rPr>
        <w:t>爆破安全规程</w:t>
      </w:r>
    </w:p>
    <w:p w14:paraId="6239C721">
      <w:pPr>
        <w:pStyle w:val="39"/>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2" w:name="_Toc204353394"/>
      <w:bookmarkStart w:id="23" w:name="_Toc97192966"/>
      <w:r>
        <w:rPr>
          <w:rFonts w:hint="default" w:ascii="Times New Roman" w:hAnsi="Times New Roman" w:cs="Times New Roman"/>
          <w:sz w:val="28"/>
          <w:szCs w:val="28"/>
          <w:highlight w:val="none"/>
          <w:lang w:eastAsia="zh-CN"/>
        </w:rPr>
        <w:t>术语和定义</w:t>
      </w:r>
      <w:bookmarkEnd w:id="22"/>
      <w:bookmarkEnd w:id="23"/>
    </w:p>
    <w:p w14:paraId="1D9E3DBE">
      <w:pPr>
        <w:pStyle w:val="35"/>
        <w:widowControl/>
        <w:spacing w:line="360" w:lineRule="auto"/>
        <w:ind w:left="0" w:firstLine="420"/>
        <w:rPr>
          <w:rFonts w:hint="default" w:ascii="Times New Roman" w:hAnsi="Times New Roman" w:cs="Times New Roman"/>
          <w:sz w:val="28"/>
          <w:szCs w:val="28"/>
          <w:highlight w:val="none"/>
          <w:lang w:val="en-US"/>
        </w:rPr>
      </w:pPr>
      <w:bookmarkStart w:id="24" w:name="_Toc26986532"/>
      <w:bookmarkEnd w:id="24"/>
      <w:r>
        <w:rPr>
          <w:rFonts w:hint="default" w:ascii="Times New Roman" w:hAnsi="Times New Roman" w:cs="Times New Roman"/>
          <w:sz w:val="28"/>
          <w:szCs w:val="28"/>
          <w:highlight w:val="none"/>
          <w:lang w:eastAsia="zh-CN"/>
        </w:rPr>
        <w:t>下列术语和定义适用于本文件。</w:t>
      </w:r>
    </w:p>
    <w:p w14:paraId="763733E2">
      <w:pPr>
        <w:pStyle w:val="34"/>
        <w:widowControl/>
        <w:numPr>
          <w:ilvl w:val="2"/>
          <w:numId w:val="4"/>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 xml:space="preserve">路基 </w:t>
      </w:r>
      <w:r>
        <w:rPr>
          <w:rFonts w:hint="default" w:ascii="Times New Roman" w:hAnsi="Times New Roman" w:eastAsia="黑体" w:cs="Times New Roman"/>
          <w:sz w:val="28"/>
          <w:szCs w:val="28"/>
          <w:highlight w:val="none"/>
          <w:lang w:val="en-US"/>
        </w:rPr>
        <w:t>roadbed</w:t>
      </w:r>
    </w:p>
    <w:p w14:paraId="7BF942E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路基是道路的重要组成部分，承受由路面传来的荷载，具有足够的强度、稳定性和耐久性。</w:t>
      </w:r>
    </w:p>
    <w:p w14:paraId="463759F1">
      <w:pPr>
        <w:pStyle w:val="39"/>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5" w:name="_Toc204353395"/>
      <w:r>
        <w:rPr>
          <w:rFonts w:hint="default" w:ascii="Times New Roman" w:hAnsi="Times New Roman" w:cs="Times New Roman"/>
          <w:sz w:val="28"/>
          <w:szCs w:val="28"/>
          <w:highlight w:val="none"/>
          <w:lang w:eastAsia="zh-CN"/>
        </w:rPr>
        <w:t>道路工程</w:t>
      </w:r>
      <w:bookmarkEnd w:id="25"/>
    </w:p>
    <w:p w14:paraId="1DB79EC9">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3ED67F6D">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应根据工程地质勘察报告，对地基土进行天然含水量、液限、塑限、击实、湿陷性、有机质含量等试验。</w:t>
      </w:r>
    </w:p>
    <w:p w14:paraId="195A112A">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应根据工程地质、水文、气象资料，施工工期和现场环境编制排水与降水方案。施工排水与降水应保证路基土壤天然结构不受扰动，保证附近建筑物和构筑物的安全。</w:t>
      </w:r>
    </w:p>
    <w:p w14:paraId="7F86F17A">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特殊土路基施工应执行本标准相应的有关规定。对不同类型的路基处理应在全面开始之前先铺筑长度不小于</w:t>
      </w:r>
      <w:r>
        <w:rPr>
          <w:rFonts w:hint="default" w:ascii="Times New Roman" w:hAnsi="Times New Roman" w:cs="Times New Roman"/>
          <w:sz w:val="28"/>
          <w:szCs w:val="28"/>
          <w:highlight w:val="none"/>
          <w:lang w:val="en-US"/>
        </w:rPr>
        <w:t>200 m</w:t>
      </w:r>
      <w:r>
        <w:rPr>
          <w:rFonts w:hint="default" w:ascii="Times New Roman" w:hAnsi="Times New Roman" w:cs="Times New Roman"/>
          <w:sz w:val="28"/>
          <w:szCs w:val="28"/>
          <w:highlight w:val="none"/>
          <w:lang w:eastAsia="zh-CN"/>
        </w:rPr>
        <w:t>的试验段，试验段结果批准后，可进行规模施工。</w:t>
      </w:r>
    </w:p>
    <w:p w14:paraId="6708717E">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挖方路基</w:t>
      </w:r>
    </w:p>
    <w:p w14:paraId="37755713">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土方开挖应符合下列规定：</w:t>
      </w:r>
    </w:p>
    <w:p w14:paraId="497C9870">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挖土时自上向下分层开挖，严禁掏洞开挖。作业中断或作业后，开挖面做成稳定边坡；</w:t>
      </w:r>
    </w:p>
    <w:p w14:paraId="1266EA27">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机械开挖作业时，应避开构筑物、管线，在距管道边</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范围内采用人工开挖；在距直埋缆线</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范围内应采用人工开挖；</w:t>
      </w:r>
    </w:p>
    <w:p w14:paraId="1EA045F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挖掘机等机械在电力架空线路下作业保持一定的安全距离；</w:t>
      </w:r>
    </w:p>
    <w:p w14:paraId="7A12848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开挖至边坡线前，应预留一定宽度，预留的宽度应保证刷坡过程中设计边坡线外的土层不受到扰动；</w:t>
      </w:r>
    </w:p>
    <w:p w14:paraId="78D9FB7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开挖至零填、填挖交接处、路堑路床部分后，应及时进行路床施工；如不能及时进行，宜在设计路床顶高程以上预留至少</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厚的保护层；</w:t>
      </w:r>
    </w:p>
    <w:p w14:paraId="56B3BB7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采取临时排水措施，将水引入路基排水系统，施工作业面不应积水。</w:t>
      </w:r>
    </w:p>
    <w:p w14:paraId="450F1055">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石方开挖应符合下列规定：</w:t>
      </w:r>
    </w:p>
    <w:p w14:paraId="73883E8C">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根据地形、地质、开挖断面及施工机械配备情况，选用能保证边坡稳定的工艺施工，应尽量选择机械或人工进行石方开挖；</w:t>
      </w:r>
    </w:p>
    <w:p w14:paraId="2D1AC70F">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爆破作业符合</w:t>
      </w:r>
      <w:r>
        <w:rPr>
          <w:rFonts w:hint="default" w:ascii="Times New Roman" w:hAnsi="Times New Roman" w:cs="Times New Roman"/>
          <w:sz w:val="28"/>
          <w:szCs w:val="28"/>
          <w:highlight w:val="none"/>
          <w:lang w:val="en-US"/>
        </w:rPr>
        <w:t>GB 6722</w:t>
      </w:r>
      <w:r>
        <w:rPr>
          <w:rFonts w:hint="default" w:ascii="Times New Roman" w:hAnsi="Times New Roman" w:cs="Times New Roman"/>
          <w:sz w:val="28"/>
          <w:szCs w:val="28"/>
          <w:highlight w:val="none"/>
          <w:lang w:eastAsia="zh-CN"/>
        </w:rPr>
        <w:t>的有关规定，并按相关规定报批；</w:t>
      </w:r>
    </w:p>
    <w:p w14:paraId="0072D449">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在爆破危险区范围内，采取有效措施防止人、畜、建筑物和其他公共设施受到危害或损坏；在危险区边界应设置明显标志，派专人看守，爆破时任何人员不应进入危险区；</w:t>
      </w:r>
    </w:p>
    <w:p w14:paraId="6DFFFB16">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逐级开挖，逐级按设计要求进行防护；</w:t>
      </w:r>
    </w:p>
    <w:p w14:paraId="58C322B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爆破法开挖石方，应先查明空中缆线、地下管线的位置，开挖边界线外可能受爆破影响的建筑物结构类型、居民居住情况等，对不能满足安全距离的石方宜采用化学静态爆破或机械开挖。</w:t>
      </w:r>
    </w:p>
    <w:p w14:paraId="6687577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路基边沟、截水沟、排水沟开挖应符合下列规定：</w:t>
      </w:r>
    </w:p>
    <w:p w14:paraId="563D435B">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道路施工中应保持土方开挖处于干燥或中湿状态，必要时采取临时排水措施；</w:t>
      </w:r>
    </w:p>
    <w:p w14:paraId="6F04C1B5">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边沟、截水沟应从下游向上游开挖。开挖后，应及时进行防渗处理，不应渗漏、积水和冲刷边坡及路基；</w:t>
      </w:r>
    </w:p>
    <w:p w14:paraId="65866F8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边沟、截水沟、排水沟的位置、断面和沟底纵坡符合设计图纸要求。特别注意有超高路段的边沟沟底纵坡，应与曲线前后沟底相衔接，不允许曲线内侧边沟积水或外溢；</w:t>
      </w:r>
    </w:p>
    <w:p w14:paraId="77E6400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开掘石质边沟，应用小孔少量炸药，超掘部分应采用小石块浆砌实心密实修整。沟底凸出部分予以凿除；</w:t>
      </w:r>
    </w:p>
    <w:p w14:paraId="6645401E">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改沟、改渠、改路先挖新沟或新渠，后填老沟、老渠，先修新路后封老路。开挖出的土石方除可利用的外，按弃土妥善处理。</w:t>
      </w:r>
    </w:p>
    <w:p w14:paraId="5BA9E20A">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填方路基</w:t>
      </w:r>
    </w:p>
    <w:p w14:paraId="5AF9236E">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填方路基应符合下列规定：</w:t>
      </w:r>
    </w:p>
    <w:p w14:paraId="5062D248">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填土前，原地面的草皮、树根、垃圾、淤泥及其他杂物清除干净。对原有排水沟及坑穴要分层填平夯实，将原地面大致找平；</w:t>
      </w:r>
    </w:p>
    <w:p w14:paraId="01A8CDBA">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路基填方材料尽可能因地制宜就地取材，利用路基开挖中挖出来的可利用材料；对旧路土碴或工业废渣等材料需经过试验确认可靠，并经建设单位、设计单位同意后方可使用；</w:t>
      </w:r>
    </w:p>
    <w:p w14:paraId="024D141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不使用淤泥、沼泽土、冻土、生活垃圾、有机土和含有腐殖质的土作路基填料。对液限大于</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、塑性指数大于</w:t>
      </w:r>
      <w:r>
        <w:rPr>
          <w:rFonts w:hint="default" w:ascii="Times New Roman" w:hAnsi="Times New Roman" w:cs="Times New Roman"/>
          <w:sz w:val="28"/>
          <w:szCs w:val="28"/>
          <w:highlight w:val="none"/>
          <w:lang w:val="en-US"/>
        </w:rPr>
        <w:t>26</w:t>
      </w:r>
      <w:r>
        <w:rPr>
          <w:rFonts w:hint="default" w:ascii="Times New Roman" w:hAnsi="Times New Roman" w:cs="Times New Roman"/>
          <w:sz w:val="28"/>
          <w:szCs w:val="28"/>
          <w:highlight w:val="none"/>
          <w:lang w:eastAsia="zh-CN"/>
        </w:rPr>
        <w:t>、可溶盐含量大于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700℃</w:t>
      </w:r>
      <w:r>
        <w:rPr>
          <w:rFonts w:hint="default" w:ascii="Times New Roman" w:hAnsi="Times New Roman" w:cs="Times New Roman"/>
          <w:sz w:val="28"/>
          <w:szCs w:val="28"/>
          <w:highlight w:val="none"/>
          <w:lang w:eastAsia="zh-CN"/>
        </w:rPr>
        <w:t>有机质烧失量大于</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的土、盐渍土、膨胀土及含水量超过规定的土，不应直接填筑路基，应采取技术措施后方可使用。强风化岩石及浸水后易崩解的岩石不应作为路基填料；</w:t>
      </w:r>
    </w:p>
    <w:p w14:paraId="225F089F">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路基填料中其石块最大粒径小于层厚的</w:t>
      </w:r>
      <w:r>
        <w:rPr>
          <w:rFonts w:hint="default" w:ascii="Times New Roman" w:hAnsi="Times New Roman" w:cs="Times New Roman"/>
          <w:sz w:val="28"/>
          <w:szCs w:val="28"/>
          <w:highlight w:val="none"/>
          <w:lang w:val="en-US"/>
        </w:rPr>
        <w:t>2/3</w:t>
      </w:r>
      <w:r>
        <w:rPr>
          <w:rFonts w:hint="default" w:ascii="Times New Roman" w:hAnsi="Times New Roman" w:cs="Times New Roman"/>
          <w:sz w:val="28"/>
          <w:szCs w:val="28"/>
          <w:highlight w:val="none"/>
          <w:lang w:eastAsia="zh-CN"/>
        </w:rPr>
        <w:t>，路床顶面以下</w:t>
      </w:r>
      <w:r>
        <w:rPr>
          <w:rFonts w:hint="default" w:ascii="Times New Roman" w:hAnsi="Times New Roman" w:cs="Times New Roman"/>
          <w:sz w:val="28"/>
          <w:szCs w:val="28"/>
          <w:highlight w:val="none"/>
          <w:lang w:val="en-US"/>
        </w:rPr>
        <w:t>50 cm</w:t>
      </w:r>
      <w:r>
        <w:rPr>
          <w:rFonts w:hint="default" w:ascii="Times New Roman" w:hAnsi="Times New Roman" w:cs="Times New Roman"/>
          <w:sz w:val="28"/>
          <w:szCs w:val="28"/>
          <w:highlight w:val="none"/>
          <w:lang w:eastAsia="zh-CN"/>
        </w:rPr>
        <w:t>厚度以内不应采用石块填筑；</w:t>
      </w:r>
    </w:p>
    <w:p w14:paraId="52D461CC">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在路基宽度内，每层虚铺厚度应视压实机具的功能确定。填土宽度每侧宽出设计</w:t>
      </w:r>
      <w:r>
        <w:rPr>
          <w:rFonts w:hint="default" w:ascii="Times New Roman" w:hAnsi="Times New Roman" w:cs="Times New Roman"/>
          <w:sz w:val="28"/>
          <w:szCs w:val="28"/>
          <w:highlight w:val="none"/>
          <w:lang w:val="en-US"/>
        </w:rPr>
        <w:t>50 cm</w:t>
      </w:r>
      <w:r>
        <w:rPr>
          <w:rFonts w:hint="default" w:ascii="Times New Roman" w:hAnsi="Times New Roman" w:cs="Times New Roman"/>
          <w:sz w:val="28"/>
          <w:szCs w:val="28"/>
          <w:highlight w:val="none"/>
          <w:lang w:eastAsia="zh-CN"/>
        </w:rPr>
        <w:t>，为便于排除雨水，填土表面可做</w:t>
      </w:r>
      <w:r>
        <w:rPr>
          <w:rFonts w:hint="default" w:ascii="Times New Roman" w:hAnsi="Times New Roman" w:cs="Times New Roman"/>
          <w:sz w:val="28"/>
          <w:szCs w:val="28"/>
          <w:highlight w:val="none"/>
          <w:lang w:val="en-US"/>
        </w:rPr>
        <w:t>2%~4%</w:t>
      </w:r>
      <w:r>
        <w:rPr>
          <w:rFonts w:hint="default" w:ascii="Times New Roman" w:hAnsi="Times New Roman" w:cs="Times New Roman"/>
          <w:sz w:val="28"/>
          <w:szCs w:val="28"/>
          <w:highlight w:val="none"/>
          <w:lang w:eastAsia="zh-CN"/>
        </w:rPr>
        <w:t>横坡；</w:t>
      </w:r>
    </w:p>
    <w:p w14:paraId="54CEE34E">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路基填方高度应按设计标高增加预沉量值，同时加强沉降观测。预沉量应根据工程性质、填方高度、填料种类、压实系数和地基情况与建设单位、监理工程师、设计单位共同商定确认；</w:t>
      </w:r>
    </w:p>
    <w:p w14:paraId="7C80D08F">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填土路基分几个作业段施工时，如相邻段交接处不同时填筑，则先填段应按</w:t>
      </w:r>
      <w:r>
        <w:rPr>
          <w:rFonts w:hint="default" w:ascii="Times New Roman" w:hAnsi="Times New Roman" w:cs="Times New Roman"/>
          <w:sz w:val="28"/>
          <w:szCs w:val="28"/>
          <w:highlight w:val="none"/>
          <w:lang w:val="en-US"/>
        </w:rPr>
        <w:t>1:1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坡度分层留作业台阶；如两段同时施工，则应分层相互交叠衔接，其搭接长度不小于</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w:t>
      </w:r>
    </w:p>
    <w:p w14:paraId="3ECA5B29">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在透水性不好的压实层上填筑透水性较好的填料前，应在其表面设</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的双向横坡，并采取相应的排水措施。不应在透水性较好的填料所填筑的路基边坡上覆盖透水性不好的填料；</w:t>
      </w:r>
    </w:p>
    <w:p w14:paraId="69023F5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河滩路基填土应在河槽加宽和加深工程完成后及附属构造物完成一部分后填筑，保证汛期路基不受冲刷；</w:t>
      </w:r>
    </w:p>
    <w:p w14:paraId="6043CD58">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压实度的检测，用灌砂法、灌水法检测压实度，取土样的底面位置为每一压实层底部；用环刀法试验时，环刀中部处于压实层厚的</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深度。</w:t>
      </w:r>
    </w:p>
    <w:p w14:paraId="65B4AF3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填石路基应符合下列规定：</w:t>
      </w:r>
    </w:p>
    <w:p w14:paraId="0D48B79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填石路基先码砌边部，然后逐层水平填筑石料，确保边坡稳定。软质石料与硬质石料不应混合使用；</w:t>
      </w:r>
    </w:p>
    <w:p w14:paraId="6A1506E6">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压实机械选用自重不小于</w:t>
      </w:r>
      <w:r>
        <w:rPr>
          <w:rFonts w:hint="default" w:ascii="Times New Roman" w:hAnsi="Times New Roman" w:cs="Times New Roman"/>
          <w:sz w:val="28"/>
          <w:szCs w:val="28"/>
          <w:highlight w:val="none"/>
          <w:lang w:val="en-US"/>
        </w:rPr>
        <w:t>18 t</w:t>
      </w:r>
      <w:r>
        <w:rPr>
          <w:rFonts w:hint="default" w:ascii="Times New Roman" w:hAnsi="Times New Roman" w:cs="Times New Roman"/>
          <w:sz w:val="28"/>
          <w:szCs w:val="28"/>
          <w:highlight w:val="none"/>
          <w:lang w:eastAsia="zh-CN"/>
        </w:rPr>
        <w:t>的振动压路机。</w:t>
      </w:r>
    </w:p>
    <w:p w14:paraId="04911EC3">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土石路基应符合下列规定：</w:t>
      </w:r>
    </w:p>
    <w:p w14:paraId="201AD6EB">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碾压前使大粒径石料均匀分散在填料中，石料间孔隙应填充小粒径石料、土和石渣；</w:t>
      </w:r>
    </w:p>
    <w:p w14:paraId="1C4585A5">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压实后透水性差异大的土石混合材料，应分层或分段填筑，不宜纵向分幅填筑；如需纵向分幅填筑，应将压实后透水良好的土石混合材料填筑于路基两侧；</w:t>
      </w:r>
    </w:p>
    <w:p w14:paraId="70AED39F">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填料由土石混合材料变化为其他填料时，土石混合材料最后一层的压实厚度应小于</w:t>
      </w:r>
      <w:r>
        <w:rPr>
          <w:rFonts w:hint="default" w:ascii="Times New Roman" w:hAnsi="Times New Roman" w:cs="Times New Roman"/>
          <w:sz w:val="28"/>
          <w:szCs w:val="28"/>
          <w:highlight w:val="none"/>
          <w:lang w:val="en-US"/>
        </w:rPr>
        <w:t>300 mm</w:t>
      </w:r>
      <w:r>
        <w:rPr>
          <w:rFonts w:hint="default" w:ascii="Times New Roman" w:hAnsi="Times New Roman" w:cs="Times New Roman"/>
          <w:sz w:val="28"/>
          <w:szCs w:val="28"/>
          <w:highlight w:val="none"/>
          <w:lang w:eastAsia="zh-CN"/>
        </w:rPr>
        <w:t>，该层填料最大粒径宜小于</w:t>
      </w:r>
      <w:r>
        <w:rPr>
          <w:rFonts w:hint="default" w:ascii="Times New Roman" w:hAnsi="Times New Roman" w:cs="Times New Roman"/>
          <w:sz w:val="28"/>
          <w:szCs w:val="28"/>
          <w:highlight w:val="none"/>
          <w:lang w:val="en-US"/>
        </w:rPr>
        <w:t>150 mm</w:t>
      </w:r>
      <w:r>
        <w:rPr>
          <w:rFonts w:hint="default" w:ascii="Times New Roman" w:hAnsi="Times New Roman" w:cs="Times New Roman"/>
          <w:sz w:val="28"/>
          <w:szCs w:val="28"/>
          <w:highlight w:val="none"/>
          <w:lang w:eastAsia="zh-CN"/>
        </w:rPr>
        <w:t>，压实后，表面无孔洞；</w:t>
      </w:r>
    </w:p>
    <w:p w14:paraId="117A5152">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采用强夯、冲击压路机进行增强补压，若附近有构筑物，应采取措施避免对其造成影响或者采取其他的压实施工方法。</w:t>
      </w:r>
    </w:p>
    <w:p w14:paraId="128FCEEC">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粉煤灰路基应符合下列规定：</w:t>
      </w:r>
    </w:p>
    <w:p w14:paraId="56BD794B">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大风或气温低于</w:t>
      </w:r>
      <w:r>
        <w:rPr>
          <w:rFonts w:hint="default" w:ascii="Times New Roman" w:hAnsi="Times New Roman" w:cs="Times New Roman"/>
          <w:sz w:val="28"/>
          <w:szCs w:val="28"/>
          <w:highlight w:val="none"/>
          <w:lang w:val="en-US"/>
        </w:rPr>
        <w:t>0℃</w:t>
      </w:r>
      <w:r>
        <w:rPr>
          <w:rFonts w:hint="default" w:ascii="Times New Roman" w:hAnsi="Times New Roman" w:cs="Times New Roman"/>
          <w:sz w:val="28"/>
          <w:szCs w:val="28"/>
          <w:highlight w:val="none"/>
          <w:lang w:eastAsia="zh-CN"/>
        </w:rPr>
        <w:t>时不宜施工；</w:t>
      </w:r>
    </w:p>
    <w:p w14:paraId="54F9C55E">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粉煤灰路基与土质护坡应同步施工，土质边坡宽度宜不小于</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w:t>
      </w:r>
    </w:p>
    <w:p w14:paraId="41B990CE">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当施工间隙期长或铺至粉煤灰路基顶层时，及时在粉煤灰路基顶层覆盖封闭土层。</w:t>
      </w:r>
    </w:p>
    <w:p w14:paraId="25B4F46F">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高填方路基应符合下列规定：</w:t>
      </w:r>
    </w:p>
    <w:p w14:paraId="57BB06F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高填方路基应优先安排施工，宜预留</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个雨季或</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个月以上的沉降期；</w:t>
      </w:r>
    </w:p>
    <w:p w14:paraId="4F3E9AD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高填方路基填料宜优先采用强度高、水稳性好的材料或采用轻质材料，路基受水淹、浸的部分，采用水稳性和透水性好的材料；</w:t>
      </w:r>
    </w:p>
    <w:p w14:paraId="1D585C4E">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施工中按设计要求预留路基高度与宽度，并进行动态监控；</w:t>
      </w:r>
    </w:p>
    <w:p w14:paraId="2943DB1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施工过程中进行沉降观测，按照设计要求控制填筑速率。</w:t>
      </w:r>
    </w:p>
    <w:p w14:paraId="386E8FCE">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台背、墙背回填应符合下列规定：</w:t>
      </w:r>
    </w:p>
    <w:p w14:paraId="6DF99F4E">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台背、墙背回填，在结构物强度达到设计强度的</w:t>
      </w:r>
      <w:r>
        <w:rPr>
          <w:rFonts w:hint="default" w:ascii="Times New Roman" w:hAnsi="Times New Roman" w:cs="Times New Roman"/>
          <w:sz w:val="28"/>
          <w:szCs w:val="28"/>
          <w:highlight w:val="none"/>
          <w:lang w:val="en-US"/>
        </w:rPr>
        <w:t>75%</w:t>
      </w:r>
      <w:r>
        <w:rPr>
          <w:rFonts w:hint="default" w:ascii="Times New Roman" w:hAnsi="Times New Roman" w:cs="Times New Roman"/>
          <w:sz w:val="28"/>
          <w:szCs w:val="28"/>
          <w:highlight w:val="none"/>
          <w:lang w:eastAsia="zh-CN"/>
        </w:rPr>
        <w:t>以上时进行；</w:t>
      </w:r>
    </w:p>
    <w:p w14:paraId="76169377">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路基与回填的联结部应按设计要求预留台阶。台背回填部分的路床与路基路床同步填筑；</w:t>
      </w:r>
    </w:p>
    <w:p w14:paraId="14E9FA5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结构物两侧对称回填，分层填筑、分层压实，压路机碾压时应距离结构物不小于</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，压路机达不到的地方应用小型机械夯实；</w:t>
      </w:r>
    </w:p>
    <w:p w14:paraId="61E9C58A">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部位狭窄时，可采用低强度等级混凝土或浆砌片石等材料回填。</w:t>
      </w:r>
    </w:p>
    <w:p w14:paraId="2D38854D">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旧路改建路基施工应符合下列规定：</w:t>
      </w:r>
    </w:p>
    <w:p w14:paraId="2097E3BF">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旧路改建时对各种地下管线、检查井、雨水口、各种人孔妥善保护，不应损坏；自来水、煤气等重要管线覆土不足</w:t>
      </w:r>
      <w:r>
        <w:rPr>
          <w:rFonts w:hint="default" w:ascii="Times New Roman" w:hAnsi="Times New Roman" w:cs="Times New Roman"/>
          <w:sz w:val="28"/>
          <w:szCs w:val="28"/>
          <w:highlight w:val="none"/>
          <w:lang w:val="en-US"/>
        </w:rPr>
        <w:t>700 mm</w:t>
      </w:r>
      <w:r>
        <w:rPr>
          <w:rFonts w:hint="default" w:ascii="Times New Roman" w:hAnsi="Times New Roman" w:cs="Times New Roman"/>
          <w:sz w:val="28"/>
          <w:szCs w:val="28"/>
          <w:highlight w:val="none"/>
          <w:lang w:eastAsia="zh-CN"/>
        </w:rPr>
        <w:t>时，不应使用机械开挖；其他管道覆土不足</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时，不应使用机械开挖或填压。重要管线施工，除应向全体施工人员班组交底、插牌标志外，应请所属主管单位派员现场监护，防止出现意外事故；</w:t>
      </w:r>
    </w:p>
    <w:p w14:paraId="1C2924D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旧路可用液压破碎锤、风镐等机械破除后，再用挖掘机开挖；</w:t>
      </w:r>
    </w:p>
    <w:p w14:paraId="15B9F9BD">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机械作业时，应避开检查井、电杆、构筑物等，必要时可配合风镐人工刨除；</w:t>
      </w:r>
    </w:p>
    <w:p w14:paraId="33DE4EC2">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开挖至设计高程时要进行清理找平，并根据土质情况适当预留虚高。</w:t>
      </w:r>
    </w:p>
    <w:p w14:paraId="54F6ED78">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路肩</w:t>
      </w:r>
    </w:p>
    <w:p w14:paraId="4F66222B">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路肩应与路基、基层、面层等各层同步施工。</w:t>
      </w:r>
    </w:p>
    <w:p w14:paraId="670BFC8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路肩应平整、坚实，直线段肩线直顺，曲线段顺畅。</w:t>
      </w:r>
    </w:p>
    <w:p w14:paraId="389EA1FC">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路肩施工应符合下列规定：</w:t>
      </w:r>
    </w:p>
    <w:p w14:paraId="7126318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当路肩为填方时，路肩填土与结构层分层填土同时进行；若路基为挖方时，可挖至路肩标高，待路面竣工后进行平整压实；</w:t>
      </w:r>
    </w:p>
    <w:p w14:paraId="2B7CC7D0">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路肩边缘碾压不到之处应用人工夯实；</w:t>
      </w:r>
    </w:p>
    <w:p w14:paraId="6931A4A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路肩要整修平整，宽度、压实度、横坡度应符合设计要求。</w:t>
      </w:r>
    </w:p>
    <w:p w14:paraId="1DE89C97">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特殊土路基</w:t>
      </w:r>
    </w:p>
    <w:p w14:paraId="0F8845E5">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特殊土路基处理方法包括但不限于以下几种：</w:t>
      </w:r>
    </w:p>
    <w:p w14:paraId="3EE17FC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地基浅层处理；</w:t>
      </w:r>
    </w:p>
    <w:p w14:paraId="74AA93A9">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排水固结法；</w:t>
      </w:r>
    </w:p>
    <w:p w14:paraId="2C99804D">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粒料桩处理；</w:t>
      </w:r>
    </w:p>
    <w:p w14:paraId="4A3959BD">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加固土桩处理；</w:t>
      </w:r>
    </w:p>
    <w:p w14:paraId="68876007">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水泥粉煤灰碎石桩；</w:t>
      </w:r>
    </w:p>
    <w:p w14:paraId="7FDA3DE7">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强夯与强夯置换；</w:t>
      </w:r>
    </w:p>
    <w:p w14:paraId="4EF4CF24">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复合地基等。</w:t>
      </w:r>
    </w:p>
    <w:p w14:paraId="22AF5497">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特殊土路基施工前应进行必要的基础试验，核对地质资料、设计处理范围、设计参数等，编制专项施工方案。</w:t>
      </w:r>
    </w:p>
    <w:p w14:paraId="1133B918">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特殊土路基填筑前应进行试验路段，以获取各种施工参数。</w:t>
      </w:r>
    </w:p>
    <w:p w14:paraId="1C3704C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实际施工中如地质状况与地勘设计不符或设计处理方案因故不能实施，应及时反馈处理。</w:t>
      </w:r>
    </w:p>
    <w:p w14:paraId="66286174">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特殊土路基施工应进行动态监控，观测数据符合设计规定并稳定后，方可进行后续施工。</w:t>
      </w:r>
    </w:p>
    <w:p w14:paraId="76AC9D7B">
      <w:pPr>
        <w:pStyle w:val="39"/>
        <w:widowControl/>
        <w:numPr>
          <w:ilvl w:val="1"/>
          <w:numId w:val="4"/>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204353396"/>
      <w:r>
        <w:rPr>
          <w:rFonts w:hint="default" w:ascii="Times New Roman" w:hAnsi="Times New Roman" w:cs="Times New Roman"/>
          <w:sz w:val="28"/>
          <w:szCs w:val="28"/>
          <w:highlight w:val="none"/>
          <w:lang w:eastAsia="zh-CN"/>
        </w:rPr>
        <w:t>桥梁工程</w:t>
      </w:r>
      <w:bookmarkEnd w:id="26"/>
    </w:p>
    <w:p w14:paraId="041C08C9">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3E18974B">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当基坑受场地限制不能按规定放坡或土质松软、含水量较大基坑坡度不易保持时，应对坑壁采取支护措施。</w:t>
      </w:r>
    </w:p>
    <w:p w14:paraId="25BB6F34">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当地基承载力不满足设计要求或出现超挖、被水浸泡现象时，应按设计要求处理，并在施工前结合现场情况，编制专项地基处理方案。</w:t>
      </w:r>
    </w:p>
    <w:p w14:paraId="6E7DDD8E">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回填土方应分层填筑并压实。</w:t>
      </w:r>
    </w:p>
    <w:p w14:paraId="1DC2F2B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桩基荷载试验应按设计要求进行。</w:t>
      </w:r>
    </w:p>
    <w:p w14:paraId="4AA63132">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桥梁工程深基坑采取防护措施时，应采取监测措施，已保证周边环境安全。</w:t>
      </w:r>
    </w:p>
    <w:p w14:paraId="5C3F9C71">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基坑</w:t>
      </w:r>
    </w:p>
    <w:p w14:paraId="52F6A682">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基坑内地基承载力应满足设计要求。基坑开挖完成后，应会同设计、勘探单位实地验槽，确认地基承载力满足设计要求。</w:t>
      </w:r>
    </w:p>
    <w:p w14:paraId="24B5FA4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地基处理应符合专项处理方案要求，处理后的地基应满足设计要求。</w:t>
      </w:r>
    </w:p>
    <w:p w14:paraId="1246E583">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筑路和管线上填方的压实度标准应符合表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的要求。</w:t>
      </w:r>
    </w:p>
    <w:p w14:paraId="1F6C96E5">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筑路和管线上填方压实度标准</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42"/>
        <w:gridCol w:w="1742"/>
        <w:gridCol w:w="1742"/>
        <w:gridCol w:w="1742"/>
        <w:gridCol w:w="1743"/>
      </w:tblGrid>
      <w:tr w14:paraId="50344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1866"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7942B0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86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90283B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压实度</w:t>
            </w:r>
          </w:p>
        </w:tc>
        <w:tc>
          <w:tcPr>
            <w:tcW w:w="3734"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75B3F92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1867"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3A7A7C7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4243D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91347E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6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67A27BE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5C7CA20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0171DBC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1867"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0DEDA3C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4438F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4" w:space="0"/>
              <w:left w:val="single" w:color="auto" w:sz="8" w:space="0"/>
              <w:bottom w:val="single" w:color="auto" w:sz="4" w:space="0"/>
              <w:right w:val="single" w:color="auto" w:sz="4" w:space="0"/>
            </w:tcBorders>
            <w:shd w:val="clear" w:color="auto" w:fill="auto"/>
            <w:vAlign w:val="center"/>
          </w:tcPr>
          <w:p w14:paraId="45D6879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填土上当年筑路</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D7D6EC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符合现行要求</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CECA03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每个基坑</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502986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每层</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rPr>
              <w:t>点</w:t>
            </w:r>
          </w:p>
        </w:tc>
        <w:tc>
          <w:tcPr>
            <w:tcW w:w="1867" w:type="dxa"/>
            <w:vMerge w:val="restart"/>
            <w:tcBorders>
              <w:top w:val="single" w:color="auto" w:sz="4" w:space="0"/>
              <w:left w:val="single" w:color="auto" w:sz="4" w:space="0"/>
              <w:bottom w:val="single" w:color="auto" w:sz="8" w:space="0"/>
              <w:right w:val="single" w:color="auto" w:sz="8" w:space="0"/>
            </w:tcBorders>
            <w:shd w:val="clear" w:color="auto" w:fill="auto"/>
            <w:vAlign w:val="center"/>
          </w:tcPr>
          <w:p w14:paraId="0BAF3EB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用环刀法或灌砂法</w:t>
            </w:r>
          </w:p>
        </w:tc>
      </w:tr>
      <w:tr w14:paraId="1E34F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4" w:space="0"/>
              <w:left w:val="single" w:color="auto" w:sz="8" w:space="0"/>
              <w:bottom w:val="single" w:color="auto" w:sz="8" w:space="0"/>
              <w:right w:val="single" w:color="auto" w:sz="4" w:space="0"/>
            </w:tcBorders>
            <w:shd w:val="clear" w:color="auto" w:fill="auto"/>
            <w:vAlign w:val="center"/>
          </w:tcPr>
          <w:p w14:paraId="0F0D360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管线填土</w:t>
            </w: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379B616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符合现行要求</w:t>
            </w: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4D957DB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每条管线</w:t>
            </w: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7DA189D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每层</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点</w:t>
            </w:r>
          </w:p>
        </w:tc>
        <w:tc>
          <w:tcPr>
            <w:tcW w:w="1867" w:type="dxa"/>
            <w:vMerge w:val="continue"/>
            <w:tcBorders>
              <w:top w:val="single" w:color="auto" w:sz="4" w:space="0"/>
              <w:left w:val="single" w:color="auto" w:sz="4" w:space="0"/>
              <w:bottom w:val="single" w:color="auto" w:sz="8" w:space="0"/>
              <w:right w:val="single" w:color="auto" w:sz="8" w:space="0"/>
            </w:tcBorders>
            <w:shd w:val="clear" w:color="auto" w:fill="auto"/>
            <w:vAlign w:val="center"/>
          </w:tcPr>
          <w:p w14:paraId="0EFDD57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bl>
    <w:p w14:paraId="6E2F53BC">
      <w:pPr>
        <w:pStyle w:val="35"/>
        <w:widowControl/>
        <w:spacing w:line="360" w:lineRule="auto"/>
        <w:ind w:left="0" w:firstLine="420"/>
        <w:rPr>
          <w:rFonts w:hint="default" w:ascii="Times New Roman" w:hAnsi="Times New Roman" w:cs="Times New Roman"/>
          <w:sz w:val="28"/>
          <w:szCs w:val="28"/>
          <w:highlight w:val="none"/>
          <w:lang w:val="en-US"/>
        </w:rPr>
      </w:pPr>
    </w:p>
    <w:p w14:paraId="23222DC8">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除当年筑路和管线上回填土方以外，填方压实度不应小于</w:t>
      </w:r>
      <w:r>
        <w:rPr>
          <w:rFonts w:hint="default" w:ascii="Times New Roman" w:hAnsi="Times New Roman" w:cs="Times New Roman"/>
          <w:sz w:val="28"/>
          <w:szCs w:val="28"/>
          <w:highlight w:val="none"/>
          <w:lang w:val="en-US"/>
        </w:rPr>
        <w:t>87%</w:t>
      </w:r>
      <w:r>
        <w:rPr>
          <w:rFonts w:hint="default" w:ascii="Times New Roman" w:hAnsi="Times New Roman" w:cs="Times New Roman"/>
          <w:sz w:val="28"/>
          <w:szCs w:val="28"/>
          <w:highlight w:val="none"/>
          <w:lang w:eastAsia="zh-CN"/>
        </w:rPr>
        <w:t>。</w:t>
      </w:r>
    </w:p>
    <w:p w14:paraId="3B8C68F1">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填料应符合设计要求，不应含有影响填筑质量的杂物。基坑填筑应分层回填、分层夯实。</w:t>
      </w:r>
    </w:p>
    <w:p w14:paraId="65FB9527">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基坑开挖允许偏差应符合表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的要求。</w:t>
      </w:r>
    </w:p>
    <w:p w14:paraId="57A0CEEA">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基坑开挖允许偏差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43"/>
        <w:gridCol w:w="1444"/>
        <w:gridCol w:w="1468"/>
        <w:gridCol w:w="1060"/>
        <w:gridCol w:w="1060"/>
        <w:gridCol w:w="2236"/>
      </w:tblGrid>
      <w:tr w14:paraId="06626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27207BD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665BBF2B">
            <w:pPr>
              <w:pStyle w:val="43"/>
              <w:widowControl/>
              <w:spacing w:line="360" w:lineRule="auto"/>
              <w:rPr>
                <w:rFonts w:hint="default" w:ascii="Times New Roman" w:hAnsi="Times New Roman" w:cs="Times New Roman"/>
                <w:sz w:val="28"/>
                <w:szCs w:val="28"/>
                <w:highlight w:val="none"/>
                <w:lang w:val="en-US"/>
              </w:rPr>
            </w:pPr>
            <w:bookmarkStart w:id="27" w:name="OLE_LINK3"/>
            <w:r>
              <w:rPr>
                <w:rFonts w:hint="default" w:ascii="Times New Roman" w:hAnsi="Times New Roman" w:cs="Times New Roman"/>
                <w:sz w:val="28"/>
                <w:szCs w:val="28"/>
                <w:highlight w:val="none"/>
              </w:rPr>
              <w:t>允许偏差</w:t>
            </w:r>
          </w:p>
          <w:p w14:paraId="52EB2D0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bookmarkEnd w:id="27"/>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22DF98B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10772995">
            <w:pPr>
              <w:pStyle w:val="43"/>
              <w:widowControl/>
              <w:spacing w:line="360" w:lineRule="auto"/>
              <w:rPr>
                <w:rFonts w:hint="default" w:ascii="Times New Roman" w:hAnsi="Times New Roman" w:cs="Times New Roman"/>
                <w:sz w:val="28"/>
                <w:szCs w:val="28"/>
                <w:highlight w:val="none"/>
                <w:lang w:val="en-US"/>
              </w:rPr>
            </w:pPr>
            <w:bookmarkStart w:id="28" w:name="OLE_LINK2"/>
            <w:r>
              <w:rPr>
                <w:rFonts w:hint="default" w:ascii="Times New Roman" w:hAnsi="Times New Roman" w:cs="Times New Roman"/>
                <w:sz w:val="28"/>
                <w:szCs w:val="28"/>
                <w:highlight w:val="none"/>
              </w:rPr>
              <w:t>检验方法</w:t>
            </w:r>
            <w:bookmarkEnd w:id="28"/>
          </w:p>
        </w:tc>
      </w:tr>
      <w:tr w14:paraId="2B001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349DFF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1F7DA89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5BA309F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5B88E76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079B3BB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05011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7D7F63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基底高程</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067386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土方</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4AA1D3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-20</w:t>
            </w:r>
          </w:p>
        </w:tc>
        <w:tc>
          <w:tcPr>
            <w:tcW w:w="1135"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4E1DBC5A">
            <w:pPr>
              <w:pStyle w:val="43"/>
              <w:widowControl/>
              <w:spacing w:line="360" w:lineRule="auto"/>
              <w:rPr>
                <w:rFonts w:hint="default" w:ascii="Times New Roman" w:hAnsi="Times New Roman" w:cs="Times New Roman"/>
                <w:sz w:val="28"/>
                <w:szCs w:val="28"/>
                <w:highlight w:val="none"/>
                <w:lang w:val="en-US"/>
              </w:rPr>
            </w:pPr>
            <w:bookmarkStart w:id="29" w:name="OLE_LINK1"/>
            <w:r>
              <w:rPr>
                <w:rFonts w:hint="default" w:ascii="Times New Roman" w:hAnsi="Times New Roman" w:cs="Times New Roman"/>
                <w:sz w:val="28"/>
                <w:szCs w:val="28"/>
                <w:highlight w:val="none"/>
              </w:rPr>
              <w:t>每座基坑</w:t>
            </w:r>
            <w:bookmarkEnd w:id="29"/>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CFE687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4051370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用水准仪测量四角和中心</w:t>
            </w:r>
          </w:p>
        </w:tc>
      </w:tr>
      <w:tr w14:paraId="71803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4D755A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2E712F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石方</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4F0CC0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-20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5EAD17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553A62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6772BE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2E95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AEA8A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轴线偏位</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28352E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308FE9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CE5463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2DA672E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用经纬仪测量，纵横各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43244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11F2ECB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基坑尺寸</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1CB3F4E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不小于设计要求</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2FF7EB0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6010F0C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1A8A260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用钢尺量每边各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点</w:t>
            </w:r>
          </w:p>
        </w:tc>
      </w:tr>
    </w:tbl>
    <w:p w14:paraId="0E3756CA">
      <w:pPr>
        <w:pStyle w:val="35"/>
        <w:widowControl/>
        <w:spacing w:line="360" w:lineRule="auto"/>
        <w:ind w:left="0" w:firstLine="420"/>
        <w:rPr>
          <w:rFonts w:hint="default" w:ascii="Times New Roman" w:hAnsi="Times New Roman" w:cs="Times New Roman"/>
          <w:sz w:val="28"/>
          <w:szCs w:val="28"/>
          <w:highlight w:val="none"/>
          <w:lang w:val="en-US"/>
        </w:rPr>
      </w:pPr>
    </w:p>
    <w:p w14:paraId="74B1989E">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现浇混凝土基础</w:t>
      </w:r>
    </w:p>
    <w:p w14:paraId="589CAB8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现浇混凝土基础允许偏差应符合表</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的要求。</w:t>
      </w:r>
    </w:p>
    <w:p w14:paraId="2CB82C8B">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现浇混凝土基础允许偏差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39"/>
        <w:gridCol w:w="1465"/>
        <w:gridCol w:w="1464"/>
        <w:gridCol w:w="1057"/>
        <w:gridCol w:w="1057"/>
        <w:gridCol w:w="2229"/>
      </w:tblGrid>
      <w:tr w14:paraId="3DBE0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39D866A8">
            <w:pPr>
              <w:pStyle w:val="43"/>
              <w:widowControl/>
              <w:spacing w:line="360" w:lineRule="auto"/>
              <w:rPr>
                <w:rFonts w:hint="default" w:ascii="Times New Roman" w:hAnsi="Times New Roman" w:cs="Times New Roman"/>
                <w:sz w:val="28"/>
                <w:szCs w:val="28"/>
                <w:highlight w:val="none"/>
                <w:lang w:val="en-US"/>
              </w:rPr>
            </w:pPr>
            <w:bookmarkStart w:id="30" w:name="OLE_LINK5"/>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4FB89E6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47A70E9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4E14A02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217CEBC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6DECD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3239D9D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5E0713B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7BB5D2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088E4B7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5092BC9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35830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4" w:space="0"/>
              <w:left w:val="single" w:color="auto" w:sz="8" w:space="0"/>
              <w:bottom w:val="single" w:color="auto" w:sz="4" w:space="0"/>
              <w:right w:val="single" w:color="auto" w:sz="4" w:space="0"/>
            </w:tcBorders>
            <w:shd w:val="clear" w:color="auto" w:fill="auto"/>
            <w:vAlign w:val="center"/>
          </w:tcPr>
          <w:p w14:paraId="6A57247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断面尺寸</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7B1644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长、宽</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9E83B07">
            <w:pPr>
              <w:pStyle w:val="43"/>
              <w:widowControl/>
              <w:spacing w:line="360" w:lineRule="auto"/>
              <w:rPr>
                <w:rFonts w:hint="default" w:ascii="Times New Roman" w:hAnsi="Times New Roman" w:cs="Times New Roman"/>
                <w:sz w:val="28"/>
                <w:szCs w:val="28"/>
                <w:highlight w:val="none"/>
                <w:lang w:val="en-US"/>
              </w:rPr>
            </w:pPr>
            <w:bookmarkStart w:id="31" w:name="OLE_LINK4"/>
            <w:r>
              <w:rPr>
                <w:rFonts w:hint="default" w:ascii="Times New Roman" w:hAnsi="Times New Roman" w:cs="Times New Roman"/>
                <w:sz w:val="28"/>
                <w:szCs w:val="28"/>
                <w:highlight w:val="none"/>
                <w:lang w:val="en-US"/>
              </w:rPr>
              <w:t>±20</w:t>
            </w:r>
            <w:bookmarkEnd w:id="31"/>
          </w:p>
        </w:tc>
        <w:tc>
          <w:tcPr>
            <w:tcW w:w="1135"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112D5A38">
            <w:pPr>
              <w:pStyle w:val="43"/>
              <w:widowControl/>
              <w:spacing w:line="360" w:lineRule="auto"/>
              <w:rPr>
                <w:rFonts w:hint="default" w:ascii="Times New Roman" w:hAnsi="Times New Roman" w:cs="Times New Roman"/>
                <w:sz w:val="28"/>
                <w:szCs w:val="28"/>
                <w:highlight w:val="none"/>
                <w:lang w:val="en-US"/>
              </w:rPr>
            </w:pPr>
            <w:bookmarkStart w:id="32" w:name="OLE_LINK6"/>
            <w:r>
              <w:rPr>
                <w:rFonts w:hint="default" w:ascii="Times New Roman" w:hAnsi="Times New Roman" w:cs="Times New Roman"/>
                <w:sz w:val="28"/>
                <w:szCs w:val="28"/>
                <w:highlight w:val="none"/>
              </w:rPr>
              <w:t>每座基坑</w:t>
            </w:r>
            <w:bookmarkEnd w:id="32"/>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AB9EE8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156D663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用钢尺量，长、宽各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2CFEF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FB0846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顶面高程</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14:paraId="252C4DA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603979D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4FF293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465468C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用水准仪测量</w:t>
            </w:r>
          </w:p>
        </w:tc>
      </w:tr>
      <w:tr w14:paraId="13EE0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C3FDA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基础厚度</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14:paraId="3CBC304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7032723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B602DD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153EB55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用钢尺量，长、宽向各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4E6CE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356AD1F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轴线偏位</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05C6EE1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7416F59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09BB056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1C539D1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用经纬仪测量，纵、横各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bookmarkEnd w:id="30"/>
    </w:tbl>
    <w:p w14:paraId="6E369A08">
      <w:pPr>
        <w:pStyle w:val="35"/>
        <w:widowControl/>
        <w:spacing w:line="360" w:lineRule="auto"/>
        <w:ind w:left="0" w:firstLine="420"/>
        <w:rPr>
          <w:rFonts w:hint="default" w:ascii="Times New Roman" w:hAnsi="Times New Roman" w:cs="Times New Roman"/>
          <w:sz w:val="28"/>
          <w:szCs w:val="28"/>
          <w:highlight w:val="none"/>
          <w:lang w:val="en-US"/>
        </w:rPr>
      </w:pPr>
    </w:p>
    <w:p w14:paraId="0D277328">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砌体基础</w:t>
      </w:r>
    </w:p>
    <w:p w14:paraId="764D05D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砌体基础允许偏差应符合表</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的要求。</w:t>
      </w:r>
    </w:p>
    <w:p w14:paraId="0291ED16">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砌体基础允许偏差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39"/>
        <w:gridCol w:w="1465"/>
        <w:gridCol w:w="1464"/>
        <w:gridCol w:w="1057"/>
        <w:gridCol w:w="1057"/>
        <w:gridCol w:w="2229"/>
      </w:tblGrid>
      <w:tr w14:paraId="3D82E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695040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54D980A">
            <w:pPr>
              <w:pStyle w:val="43"/>
              <w:widowControl/>
              <w:spacing w:line="360" w:lineRule="auto"/>
              <w:rPr>
                <w:rFonts w:hint="default" w:ascii="Times New Roman" w:hAnsi="Times New Roman" w:cs="Times New Roman"/>
                <w:sz w:val="28"/>
                <w:szCs w:val="28"/>
                <w:highlight w:val="none"/>
                <w:lang w:val="en-US"/>
              </w:rPr>
            </w:pPr>
            <w:bookmarkStart w:id="33" w:name="OLE_LINK8"/>
            <w:r>
              <w:rPr>
                <w:rFonts w:hint="default" w:ascii="Times New Roman" w:hAnsi="Times New Roman" w:cs="Times New Roman"/>
                <w:sz w:val="28"/>
                <w:szCs w:val="28"/>
                <w:highlight w:val="none"/>
              </w:rPr>
              <w:t>允许偏差</w:t>
            </w:r>
          </w:p>
          <w:p w14:paraId="3C6366E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bookmarkEnd w:id="33"/>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262E8548">
            <w:pPr>
              <w:pStyle w:val="43"/>
              <w:widowControl/>
              <w:spacing w:line="360" w:lineRule="auto"/>
              <w:rPr>
                <w:rFonts w:hint="default" w:ascii="Times New Roman" w:hAnsi="Times New Roman" w:cs="Times New Roman"/>
                <w:sz w:val="28"/>
                <w:szCs w:val="28"/>
                <w:highlight w:val="none"/>
                <w:lang w:val="en-US"/>
              </w:rPr>
            </w:pPr>
            <w:bookmarkStart w:id="34" w:name="OLE_LINK7"/>
            <w:r>
              <w:rPr>
                <w:rFonts w:hint="default" w:ascii="Times New Roman" w:hAnsi="Times New Roman" w:cs="Times New Roman"/>
                <w:sz w:val="28"/>
                <w:szCs w:val="28"/>
                <w:highlight w:val="none"/>
              </w:rPr>
              <w:t>检验频率</w:t>
            </w:r>
            <w:bookmarkEnd w:id="34"/>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3597DD0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33114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62D1B0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1B7FC50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29F7DDB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0AFF508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56924D8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2C7BB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4" w:space="0"/>
              <w:left w:val="single" w:color="auto" w:sz="8" w:space="0"/>
              <w:bottom w:val="single" w:color="auto" w:sz="4" w:space="0"/>
              <w:right w:val="single" w:color="auto" w:sz="4" w:space="0"/>
            </w:tcBorders>
            <w:shd w:val="clear" w:color="auto" w:fill="auto"/>
            <w:vAlign w:val="center"/>
          </w:tcPr>
          <w:p w14:paraId="6E0D71A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顶面高程</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8D692AB">
            <w:pPr>
              <w:pStyle w:val="43"/>
              <w:widowControl/>
              <w:spacing w:line="360" w:lineRule="auto"/>
              <w:rPr>
                <w:rFonts w:hint="default" w:ascii="Times New Roman" w:hAnsi="Times New Roman" w:cs="Times New Roman"/>
                <w:sz w:val="28"/>
                <w:szCs w:val="28"/>
                <w:highlight w:val="none"/>
                <w:lang w:val="en-US"/>
              </w:rPr>
            </w:pP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831932A">
            <w:pPr>
              <w:pStyle w:val="43"/>
              <w:widowControl/>
              <w:spacing w:line="360" w:lineRule="auto"/>
              <w:rPr>
                <w:rFonts w:hint="default" w:ascii="Times New Roman" w:hAnsi="Times New Roman" w:cs="Times New Roman"/>
                <w:sz w:val="28"/>
                <w:szCs w:val="28"/>
                <w:highlight w:val="none"/>
                <w:lang w:val="en-US"/>
              </w:rPr>
            </w:pPr>
            <w:bookmarkStart w:id="35" w:name="OLE_LINK9"/>
            <w:r>
              <w:rPr>
                <w:rFonts w:hint="default" w:ascii="Times New Roman" w:hAnsi="Times New Roman" w:cs="Times New Roman"/>
                <w:sz w:val="28"/>
                <w:szCs w:val="28"/>
                <w:highlight w:val="none"/>
                <w:lang w:val="en-US"/>
              </w:rPr>
              <w:t>±25</w:t>
            </w:r>
            <w:bookmarkEnd w:id="35"/>
          </w:p>
        </w:tc>
        <w:tc>
          <w:tcPr>
            <w:tcW w:w="1135"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5C05210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每座基坑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123376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27D6A73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用水准仪测量</w:t>
            </w:r>
          </w:p>
        </w:tc>
      </w:tr>
      <w:tr w14:paraId="4A71B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A9D4A2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基础厚度</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7AD1B9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片石</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14:paraId="77C8372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BD537A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B21931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5C12B16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用钢尺量，长、宽各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56B89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16F2F2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7652C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料石、砌块</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14:paraId="469A32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304D37B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5581AF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1679BD1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1E8A7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454EEEF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轴线偏位</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54EE928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00B59F5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7119FE4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37ED7D6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用经纬仪测量，纵、横各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bl>
    <w:p w14:paraId="6CD6AB66">
      <w:pPr>
        <w:pStyle w:val="35"/>
        <w:widowControl/>
        <w:spacing w:line="360" w:lineRule="auto"/>
        <w:ind w:left="0" w:firstLine="420"/>
        <w:rPr>
          <w:rFonts w:hint="default" w:ascii="Times New Roman" w:hAnsi="Times New Roman" w:cs="Times New Roman"/>
          <w:sz w:val="28"/>
          <w:szCs w:val="28"/>
          <w:highlight w:val="none"/>
          <w:lang w:val="en-US"/>
        </w:rPr>
      </w:pPr>
    </w:p>
    <w:p w14:paraId="2BC702FE">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沉入桩</w:t>
      </w:r>
    </w:p>
    <w:p w14:paraId="702FD1CB">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预制桩进场时应出具合格检验记录。</w:t>
      </w:r>
    </w:p>
    <w:p w14:paraId="59EF0098">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桩表面不应出现空洞、露筋和受力裂缝。</w:t>
      </w:r>
    </w:p>
    <w:p w14:paraId="5696B608">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钢筋混凝土、预应力混凝土沉入桩预制外观质量应符合下列要求：</w:t>
      </w:r>
    </w:p>
    <w:p w14:paraId="5BA511B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钢筋混凝土桩的裂缝宽度不应超过</w:t>
      </w:r>
      <w:r>
        <w:rPr>
          <w:rFonts w:hint="default" w:ascii="Times New Roman" w:hAnsi="Times New Roman" w:cs="Times New Roman"/>
          <w:sz w:val="28"/>
          <w:szCs w:val="28"/>
          <w:highlight w:val="none"/>
          <w:lang w:val="en-US"/>
        </w:rPr>
        <w:t>0.2 mm</w:t>
      </w:r>
      <w:r>
        <w:rPr>
          <w:rFonts w:hint="default" w:ascii="Times New Roman" w:hAnsi="Times New Roman" w:cs="Times New Roman"/>
          <w:sz w:val="28"/>
          <w:szCs w:val="28"/>
          <w:highlight w:val="none"/>
          <w:lang w:eastAsia="zh-CN"/>
        </w:rPr>
        <w:t>，深度不应大于</w:t>
      </w:r>
      <w:r>
        <w:rPr>
          <w:rFonts w:hint="default" w:ascii="Times New Roman" w:hAnsi="Times New Roman" w:cs="Times New Roman"/>
          <w:sz w:val="28"/>
          <w:szCs w:val="28"/>
          <w:highlight w:val="none"/>
          <w:lang w:val="en-US"/>
        </w:rPr>
        <w:t>10 mm</w:t>
      </w:r>
      <w:r>
        <w:rPr>
          <w:rFonts w:hint="default" w:ascii="Times New Roman" w:hAnsi="Times New Roman" w:cs="Times New Roman"/>
          <w:sz w:val="28"/>
          <w:szCs w:val="28"/>
          <w:highlight w:val="none"/>
          <w:lang w:eastAsia="zh-CN"/>
        </w:rPr>
        <w:t>；横向裂纹长度，矩形或方形桩不应超过短边长的</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，多边形桩不应超过直径或对角线的</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，每延米桩长裂缝不应超过五道；纵向裂缝长度，矩形或方形桩不应超过短边长的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w:t>
      </w:r>
    </w:p>
    <w:p w14:paraId="4B588D13">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预应力混凝土沉入桩不应有裂缝；</w:t>
      </w:r>
    </w:p>
    <w:p w14:paraId="619AD226">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桩顶、桩尖附近不应有蜂窝、掉角、露筋；</w:t>
      </w:r>
    </w:p>
    <w:p w14:paraId="33CD01D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沿桩身长度棱角损坏深度不应超过</w:t>
      </w:r>
      <w:r>
        <w:rPr>
          <w:rFonts w:hint="default" w:ascii="Times New Roman" w:hAnsi="Times New Roman" w:cs="Times New Roman"/>
          <w:sz w:val="28"/>
          <w:szCs w:val="28"/>
          <w:highlight w:val="none"/>
          <w:lang w:val="en-US"/>
        </w:rPr>
        <w:t>5 mm</w:t>
      </w:r>
      <w:r>
        <w:rPr>
          <w:rFonts w:hint="default" w:ascii="Times New Roman" w:hAnsi="Times New Roman" w:cs="Times New Roman"/>
          <w:sz w:val="28"/>
          <w:szCs w:val="28"/>
          <w:highlight w:val="none"/>
          <w:lang w:eastAsia="zh-CN"/>
        </w:rPr>
        <w:t>，每</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延米长允许有一处棱角损坏，在一根桩上边棱损坏总长度不超过</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w:t>
      </w:r>
    </w:p>
    <w:p w14:paraId="62FCADE6">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钢筋混凝土和预应力混凝土桩的预制允许偏差应符合表</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的要求。</w:t>
      </w:r>
    </w:p>
    <w:p w14:paraId="6BE6863C">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钢筋混凝土和预应力混凝土桩的预制允许偏差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75"/>
        <w:gridCol w:w="1699"/>
        <w:gridCol w:w="1479"/>
        <w:gridCol w:w="1335"/>
        <w:gridCol w:w="797"/>
        <w:gridCol w:w="2226"/>
      </w:tblGrid>
      <w:tr w14:paraId="20B0F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548C9AF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667AA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0B0A645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008A907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0CFA5FBE">
            <w:pPr>
              <w:pStyle w:val="43"/>
              <w:widowControl/>
              <w:spacing w:line="360" w:lineRule="auto"/>
              <w:rPr>
                <w:rFonts w:hint="default" w:ascii="Times New Roman" w:hAnsi="Times New Roman" w:cs="Times New Roman"/>
                <w:sz w:val="28"/>
                <w:szCs w:val="28"/>
                <w:highlight w:val="none"/>
                <w:lang w:val="en-US"/>
              </w:rPr>
            </w:pPr>
            <w:bookmarkStart w:id="36" w:name="OLE_LINK11"/>
            <w:r>
              <w:rPr>
                <w:rFonts w:hint="default" w:ascii="Times New Roman" w:hAnsi="Times New Roman" w:cs="Times New Roman"/>
                <w:sz w:val="28"/>
                <w:szCs w:val="28"/>
                <w:highlight w:val="none"/>
              </w:rPr>
              <w:t>检验方法</w:t>
            </w:r>
            <w:bookmarkEnd w:id="36"/>
          </w:p>
        </w:tc>
      </w:tr>
      <w:tr w14:paraId="0A90A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B388E0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2198D5C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419" w:type="dxa"/>
            <w:tcBorders>
              <w:top w:val="single" w:color="auto" w:sz="8" w:space="0"/>
              <w:left w:val="single" w:color="auto" w:sz="4" w:space="0"/>
              <w:bottom w:val="single" w:color="auto" w:sz="4" w:space="0"/>
              <w:right w:val="single" w:color="auto" w:sz="4" w:space="0"/>
            </w:tcBorders>
            <w:shd w:val="clear" w:color="auto" w:fill="auto"/>
            <w:vAlign w:val="center"/>
          </w:tcPr>
          <w:p w14:paraId="6DA0D4E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5FAA76C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338E5E3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6866A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80CE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实心桩</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0112225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横截面边长</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7842A5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B518B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每批抽查</w:t>
            </w:r>
            <w:r>
              <w:rPr>
                <w:rFonts w:hint="default" w:ascii="Times New Roman" w:hAnsi="Times New Roman" w:cs="Times New Roman"/>
                <w:sz w:val="28"/>
                <w:szCs w:val="28"/>
                <w:highlight w:val="none"/>
                <w:lang w:val="en-US"/>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2D9C1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135E86C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用钢尺量相邻两边</w:t>
            </w:r>
          </w:p>
        </w:tc>
      </w:tr>
      <w:tr w14:paraId="2BC7A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776017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4672069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长度</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6C321B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p>
        </w:tc>
        <w:tc>
          <w:tcPr>
            <w:tcW w:w="1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5B3E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CF7249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1D5E605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4E562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5EB4B2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0F01E74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桩尖对中轴线的倾斜</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CFE782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1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4841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E0F48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5A4A6B1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08630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4F5330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7079570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桩轴线的弯曲矢高</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B1D0F9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≤0.1%</w:t>
            </w:r>
            <w:r>
              <w:rPr>
                <w:rFonts w:hint="default" w:ascii="Times New Roman" w:hAnsi="Times New Roman" w:cs="Times New Roman"/>
                <w:sz w:val="28"/>
                <w:szCs w:val="28"/>
                <w:highlight w:val="none"/>
              </w:rPr>
              <w:t>桩长，且</w:t>
            </w:r>
            <w:bookmarkStart w:id="37" w:name="OLE_LINK10"/>
            <w:r>
              <w:rPr>
                <w:rFonts w:hint="default" w:ascii="Times New Roman" w:hAnsi="Times New Roman" w:cs="Times New Roman"/>
                <w:sz w:val="28"/>
                <w:szCs w:val="28"/>
                <w:highlight w:val="none"/>
                <w:lang w:val="en-US"/>
              </w:rPr>
              <w:t>≤</w:t>
            </w:r>
            <w:bookmarkEnd w:id="37"/>
            <w:r>
              <w:rPr>
                <w:rFonts w:hint="default" w:ascii="Times New Roman" w:hAnsi="Times New Roman" w:cs="Times New Roman"/>
                <w:sz w:val="28"/>
                <w:szCs w:val="28"/>
                <w:highlight w:val="none"/>
                <w:lang w:val="en-US"/>
              </w:rPr>
              <w:t>20</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6A11677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全数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DEEE6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0D8CD0E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沿构件全长拉线，用钢尺量</w:t>
            </w:r>
          </w:p>
        </w:tc>
      </w:tr>
      <w:tr w14:paraId="40037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F7E9F8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102991E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桩顶平面对桩纵轴线的倾斜</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CD6BA7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桩径</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边长</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，且</w:t>
            </w:r>
            <w:r>
              <w:rPr>
                <w:rFonts w:hint="default" w:ascii="Times New Roman" w:hAnsi="Times New Roman" w:cs="Times New Roman"/>
                <w:sz w:val="28"/>
                <w:szCs w:val="28"/>
                <w:highlight w:val="none"/>
                <w:lang w:val="en-US"/>
              </w:rPr>
              <w:t>≤3</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6A43BF0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每批抽查</w:t>
            </w:r>
            <w:r>
              <w:rPr>
                <w:rFonts w:hint="default" w:ascii="Times New Roman" w:hAnsi="Times New Roman" w:cs="Times New Roman"/>
                <w:sz w:val="28"/>
                <w:szCs w:val="28"/>
                <w:highlight w:val="none"/>
                <w:lang w:val="en-US"/>
              </w:rPr>
              <w:t>10%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52967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5D75F9B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用垂线和钢尺量</w:t>
            </w:r>
          </w:p>
        </w:tc>
      </w:tr>
      <w:tr w14:paraId="23B65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83ACC1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3AFA213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接桩的接头平面与桩轴平面垂直度</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13EA72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5D6DBB9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每批抽查</w:t>
            </w:r>
            <w:r>
              <w:rPr>
                <w:rFonts w:hint="default" w:ascii="Times New Roman" w:hAnsi="Times New Roman" w:cs="Times New Roman"/>
                <w:sz w:val="28"/>
                <w:szCs w:val="28"/>
                <w:highlight w:val="none"/>
                <w:lang w:val="en-US"/>
              </w:rPr>
              <w:t>20%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8147F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7721983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6EC36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26872A9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空心桩</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76B1230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内径</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F3DA80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不小于设计</w:t>
            </w:r>
          </w:p>
        </w:tc>
        <w:tc>
          <w:tcPr>
            <w:tcW w:w="1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50E0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每批抽查</w:t>
            </w:r>
            <w:r>
              <w:rPr>
                <w:rFonts w:hint="default" w:ascii="Times New Roman" w:hAnsi="Times New Roman" w:cs="Times New Roman"/>
                <w:sz w:val="28"/>
                <w:szCs w:val="28"/>
                <w:highlight w:val="none"/>
                <w:lang w:val="en-US"/>
              </w:rPr>
              <w:t>20%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D98E5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49F849B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6D274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76FFEBB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289D80F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壁厚</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C8401C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w:t>
            </w:r>
          </w:p>
          <w:p w14:paraId="1B152D9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1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46DF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795D3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39F0175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0A59E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85A47F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846" w:type="dxa"/>
            <w:tcBorders>
              <w:top w:val="single" w:color="auto" w:sz="4" w:space="0"/>
              <w:left w:val="single" w:color="auto" w:sz="4" w:space="0"/>
              <w:bottom w:val="single" w:color="auto" w:sz="8" w:space="0"/>
              <w:right w:val="single" w:color="auto" w:sz="4" w:space="0"/>
            </w:tcBorders>
            <w:shd w:val="clear" w:color="auto" w:fill="auto"/>
            <w:vAlign w:val="center"/>
          </w:tcPr>
          <w:p w14:paraId="5276CBE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桩轴线的弯曲矢高</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7D39FE5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0.2%</w:t>
            </w:r>
          </w:p>
        </w:tc>
        <w:tc>
          <w:tcPr>
            <w:tcW w:w="1419" w:type="dxa"/>
            <w:tcBorders>
              <w:top w:val="single" w:color="auto" w:sz="4" w:space="0"/>
              <w:left w:val="single" w:color="auto" w:sz="4" w:space="0"/>
              <w:bottom w:val="single" w:color="auto" w:sz="8" w:space="0"/>
              <w:right w:val="single" w:color="auto" w:sz="4" w:space="0"/>
            </w:tcBorders>
            <w:shd w:val="clear" w:color="auto" w:fill="auto"/>
            <w:vAlign w:val="center"/>
          </w:tcPr>
          <w:p w14:paraId="1E3B113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全数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7CEBD29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15B4016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沿管节全长拉线，用钢尺量</w:t>
            </w:r>
          </w:p>
        </w:tc>
      </w:tr>
    </w:tbl>
    <w:p w14:paraId="68CA934F">
      <w:pPr>
        <w:pStyle w:val="35"/>
        <w:widowControl/>
        <w:spacing w:line="360" w:lineRule="auto"/>
        <w:ind w:left="0" w:firstLine="420"/>
        <w:rPr>
          <w:rFonts w:hint="default" w:ascii="Times New Roman" w:hAnsi="Times New Roman" w:cs="Times New Roman"/>
          <w:sz w:val="28"/>
          <w:szCs w:val="28"/>
          <w:highlight w:val="none"/>
          <w:lang w:val="en-US"/>
        </w:rPr>
      </w:pPr>
    </w:p>
    <w:p w14:paraId="36A064D4">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钢管桩</w:t>
      </w:r>
    </w:p>
    <w:p w14:paraId="5F6CF432">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钢管桩进场时应具备合格证明书。</w:t>
      </w:r>
    </w:p>
    <w:p w14:paraId="7B6182D3">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钢管桩制作允许偏差应符合表</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的要求。</w:t>
      </w:r>
    </w:p>
    <w:p w14:paraId="7DBE8810">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钢管桩制作允许偏差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85"/>
        <w:gridCol w:w="1990"/>
        <w:gridCol w:w="1338"/>
        <w:gridCol w:w="1061"/>
        <w:gridCol w:w="2237"/>
      </w:tblGrid>
      <w:tr w14:paraId="6F354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2258"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14470E4">
            <w:pPr>
              <w:pStyle w:val="43"/>
              <w:widowControl/>
              <w:spacing w:line="360" w:lineRule="auto"/>
              <w:rPr>
                <w:rFonts w:hint="default" w:ascii="Times New Roman" w:hAnsi="Times New Roman" w:cs="Times New Roman"/>
                <w:sz w:val="28"/>
                <w:szCs w:val="28"/>
                <w:highlight w:val="none"/>
                <w:lang w:val="en-US"/>
              </w:rPr>
            </w:pPr>
            <w:bookmarkStart w:id="38" w:name="OLE_LINK13"/>
            <w:r>
              <w:rPr>
                <w:rFonts w:hint="default" w:ascii="Times New Roman" w:hAnsi="Times New Roman" w:cs="Times New Roman"/>
                <w:sz w:val="28"/>
                <w:szCs w:val="28"/>
                <w:highlight w:val="none"/>
              </w:rPr>
              <w:t>项目</w:t>
            </w:r>
          </w:p>
        </w:tc>
        <w:tc>
          <w:tcPr>
            <w:tcW w:w="212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0E0BC6A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723C812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551"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7D30BEB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53357AD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6563B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B2B5DE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12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50F5E26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417" w:type="dxa"/>
            <w:tcBorders>
              <w:top w:val="single" w:color="auto" w:sz="8" w:space="0"/>
              <w:left w:val="single" w:color="auto" w:sz="4" w:space="0"/>
              <w:bottom w:val="single" w:color="auto" w:sz="4" w:space="0"/>
              <w:right w:val="single" w:color="auto" w:sz="4" w:space="0"/>
            </w:tcBorders>
            <w:shd w:val="clear" w:color="auto" w:fill="auto"/>
            <w:vAlign w:val="center"/>
          </w:tcPr>
          <w:p w14:paraId="0A23E4F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5E82867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2DB6FFE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25904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40C7DE1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外径</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92D93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9038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每批抽查</w:t>
            </w:r>
            <w:r>
              <w:rPr>
                <w:rFonts w:hint="default" w:ascii="Times New Roman" w:hAnsi="Times New Roman" w:cs="Times New Roman"/>
                <w:sz w:val="28"/>
                <w:szCs w:val="28"/>
                <w:highlight w:val="none"/>
                <w:lang w:val="en-US"/>
              </w:rPr>
              <w:t>10%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9B0F9E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01A2A08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72B3A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2A1E3B5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长度</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65B72D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w:t>
            </w: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53A3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3D99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588DEEA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13561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5278482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桩轴线的弯曲矢高</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3BF732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桩长，且</w:t>
            </w:r>
            <w:bookmarkStart w:id="39" w:name="OLE_LINK12"/>
            <w:r>
              <w:rPr>
                <w:rFonts w:hint="default" w:ascii="Times New Roman" w:hAnsi="Times New Roman" w:cs="Times New Roman"/>
                <w:sz w:val="28"/>
                <w:szCs w:val="28"/>
                <w:highlight w:val="none"/>
                <w:lang w:val="en-US"/>
              </w:rPr>
              <w:t>≤</w:t>
            </w:r>
            <w:bookmarkEnd w:id="39"/>
            <w:r>
              <w:rPr>
                <w:rFonts w:hint="default" w:ascii="Times New Roman" w:hAnsi="Times New Roman" w:cs="Times New Roman"/>
                <w:sz w:val="28"/>
                <w:szCs w:val="28"/>
                <w:highlight w:val="none"/>
                <w:lang w:val="en-US"/>
              </w:rPr>
              <w:t>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51E90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全数</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2AB9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3003223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沿桩身拉线，用钢尺量</w:t>
            </w:r>
          </w:p>
        </w:tc>
      </w:tr>
      <w:tr w14:paraId="73525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4BCBEEA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端部平面度</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697C6A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1417"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67CA674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每批抽查</w:t>
            </w:r>
            <w:r>
              <w:rPr>
                <w:rFonts w:hint="default" w:ascii="Times New Roman" w:hAnsi="Times New Roman" w:cs="Times New Roman"/>
                <w:sz w:val="28"/>
                <w:szCs w:val="28"/>
                <w:highlight w:val="none"/>
                <w:lang w:val="en-US"/>
              </w:rPr>
              <w:t>20%</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2D44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702E892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用直尺和塞尺量</w:t>
            </w:r>
          </w:p>
        </w:tc>
      </w:tr>
      <w:tr w14:paraId="01832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8" w:space="0"/>
              <w:right w:val="single" w:color="auto" w:sz="4" w:space="0"/>
            </w:tcBorders>
            <w:shd w:val="clear" w:color="auto" w:fill="auto"/>
            <w:vAlign w:val="center"/>
          </w:tcPr>
          <w:p w14:paraId="2240149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端部平面与桩身中心线的倾斜</w:t>
            </w:r>
          </w:p>
        </w:tc>
        <w:tc>
          <w:tcPr>
            <w:tcW w:w="2127" w:type="dxa"/>
            <w:tcBorders>
              <w:top w:val="single" w:color="auto" w:sz="4" w:space="0"/>
              <w:left w:val="single" w:color="auto" w:sz="4" w:space="0"/>
              <w:bottom w:val="single" w:color="auto" w:sz="8" w:space="0"/>
              <w:right w:val="single" w:color="auto" w:sz="4" w:space="0"/>
            </w:tcBorders>
            <w:shd w:val="clear" w:color="auto" w:fill="auto"/>
            <w:vAlign w:val="center"/>
          </w:tcPr>
          <w:p w14:paraId="7A70183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桩径，且</w:t>
            </w:r>
            <w:r>
              <w:rPr>
                <w:rFonts w:hint="default" w:ascii="Times New Roman" w:hAnsi="Times New Roman" w:cs="Times New Roman"/>
                <w:sz w:val="28"/>
                <w:szCs w:val="28"/>
                <w:highlight w:val="none"/>
                <w:lang w:val="en-US"/>
              </w:rPr>
              <w:t>≤3</w:t>
            </w:r>
          </w:p>
        </w:tc>
        <w:tc>
          <w:tcPr>
            <w:tcW w:w="141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2334E8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55024C8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471F5A0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用垂线和钢尺量</w:t>
            </w:r>
          </w:p>
        </w:tc>
      </w:tr>
      <w:bookmarkEnd w:id="38"/>
    </w:tbl>
    <w:p w14:paraId="613B0241">
      <w:pPr>
        <w:pStyle w:val="35"/>
        <w:widowControl/>
        <w:spacing w:line="360" w:lineRule="auto"/>
        <w:ind w:left="0" w:firstLine="420"/>
        <w:rPr>
          <w:rFonts w:hint="default" w:ascii="Times New Roman" w:hAnsi="Times New Roman" w:cs="Times New Roman"/>
          <w:sz w:val="28"/>
          <w:szCs w:val="28"/>
          <w:highlight w:val="none"/>
          <w:lang w:val="en-US"/>
        </w:rPr>
      </w:pPr>
    </w:p>
    <w:p w14:paraId="0B19A4A2">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沉桩</w:t>
      </w:r>
    </w:p>
    <w:p w14:paraId="24A9AEE4">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沉桩允许偏差应符合表</w:t>
      </w:r>
      <w:r>
        <w:rPr>
          <w:rFonts w:hint="default" w:ascii="Times New Roman" w:hAnsi="Times New Roman" w:cs="Times New Roman"/>
          <w:sz w:val="28"/>
          <w:szCs w:val="28"/>
          <w:highlight w:val="none"/>
          <w:lang w:val="en-US"/>
        </w:rPr>
        <w:t>7</w:t>
      </w:r>
      <w:r>
        <w:rPr>
          <w:rFonts w:hint="default" w:ascii="Times New Roman" w:hAnsi="Times New Roman" w:cs="Times New Roman"/>
          <w:sz w:val="28"/>
          <w:szCs w:val="28"/>
          <w:highlight w:val="none"/>
          <w:lang w:eastAsia="zh-CN"/>
        </w:rPr>
        <w:t>的要求。</w:t>
      </w:r>
    </w:p>
    <w:p w14:paraId="5C60EADA">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沉桩允许偏差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37"/>
        <w:gridCol w:w="1437"/>
        <w:gridCol w:w="1505"/>
        <w:gridCol w:w="1055"/>
        <w:gridCol w:w="1077"/>
        <w:gridCol w:w="2200"/>
      </w:tblGrid>
      <w:tr w14:paraId="40A25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60B648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493A657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230A54A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37D993A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7F4AAAA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7AFAD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8F095D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FF0A95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2184054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4ECC9F2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492A0CB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77731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52FA57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群桩</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C98DEF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中间桩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BF4C04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≤d/2</w:t>
            </w:r>
            <w:r>
              <w:rPr>
                <w:rFonts w:hint="default" w:ascii="Times New Roman" w:hAnsi="Times New Roman" w:cs="Times New Roman"/>
                <w:sz w:val="28"/>
                <w:szCs w:val="28"/>
                <w:highlight w:val="none"/>
              </w:rPr>
              <w:t>，且</w:t>
            </w:r>
            <w:bookmarkStart w:id="40" w:name="OLE_LINK15"/>
            <w:r>
              <w:rPr>
                <w:rFonts w:hint="default" w:ascii="Times New Roman" w:hAnsi="Times New Roman" w:cs="Times New Roman"/>
                <w:sz w:val="28"/>
                <w:szCs w:val="28"/>
                <w:highlight w:val="none"/>
                <w:lang w:val="en-US"/>
              </w:rPr>
              <w:t>≤</w:t>
            </w:r>
            <w:bookmarkEnd w:id="40"/>
            <w:r>
              <w:rPr>
                <w:rFonts w:hint="default" w:ascii="Times New Roman" w:hAnsi="Times New Roman" w:cs="Times New Roman"/>
                <w:sz w:val="28"/>
                <w:szCs w:val="28"/>
                <w:highlight w:val="none"/>
                <w:lang w:val="en-US"/>
              </w:rPr>
              <w:t>250</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6606E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每排桩</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9E2F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39602D6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w:t>
            </w:r>
          </w:p>
        </w:tc>
      </w:tr>
      <w:tr w14:paraId="3DA03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682955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3E90C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外缘桩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3C2843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d/4</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C06F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43E0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1F2C596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13595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B2FB4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排架桩</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7A6520C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顺桥方向</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533ECB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40</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02A0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9EA8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7007BA7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1D0D0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9B2409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D6101A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垂直桥轴方向</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E1D484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28A9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4727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20E084B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2D815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00709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桩尖高程</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E0A46B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不高于设计要求</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83696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每根桩</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4AF5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全数</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246571D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用水准仪测量</w:t>
            </w:r>
          </w:p>
        </w:tc>
      </w:tr>
      <w:tr w14:paraId="57FCA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D37FE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斜桩倾斜度</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8B0500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±15%tgθ</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EB16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EAEB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1E03C2F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用垂线和钢尺量尚未沉入部分</w:t>
            </w:r>
          </w:p>
        </w:tc>
      </w:tr>
      <w:tr w14:paraId="55D15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022E46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直桩垂直度</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30F227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27D1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7658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C95DCB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561A4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4" w:space="0"/>
              <w:left w:val="single" w:color="auto" w:sz="8" w:space="0"/>
              <w:bottom w:val="single" w:color="auto" w:sz="8" w:space="0"/>
              <w:right w:val="single" w:color="auto" w:sz="8" w:space="0"/>
            </w:tcBorders>
            <w:shd w:val="clear" w:color="auto" w:fill="auto"/>
            <w:vAlign w:val="center"/>
          </w:tcPr>
          <w:p w14:paraId="6D4F0CA8">
            <w:pPr>
              <w:pStyle w:val="40"/>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d</w:t>
            </w:r>
            <w:r>
              <w:rPr>
                <w:rFonts w:hint="default" w:ascii="Times New Roman" w:hAnsi="Times New Roman" w:cs="Times New Roman"/>
                <w:sz w:val="28"/>
                <w:szCs w:val="28"/>
                <w:highlight w:val="none"/>
              </w:rPr>
              <w:t>为桩的直径或短边尺寸（</w:t>
            </w:r>
            <w:r>
              <w:rPr>
                <w:rFonts w:hint="default" w:ascii="Times New Roman" w:hAnsi="Times New Roman" w:cs="Times New Roman"/>
                <w:sz w:val="28"/>
                <w:szCs w:val="28"/>
                <w:highlight w:val="none"/>
                <w:lang w:val="en-US"/>
              </w:rPr>
              <w:t xml:space="preserve"> mm</w:t>
            </w:r>
            <w:r>
              <w:rPr>
                <w:rFonts w:hint="default" w:ascii="Times New Roman" w:hAnsi="Times New Roman" w:cs="Times New Roman"/>
                <w:sz w:val="28"/>
                <w:szCs w:val="28"/>
                <w:highlight w:val="none"/>
              </w:rPr>
              <w:t>）；</w:t>
            </w:r>
          </w:p>
          <w:p w14:paraId="30002DEA">
            <w:pPr>
              <w:pStyle w:val="40"/>
              <w:widowControl/>
              <w:numPr>
                <w:ilvl w:val="0"/>
                <w:numId w:val="5"/>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θ</w:t>
            </w:r>
            <w:r>
              <w:rPr>
                <w:rFonts w:hint="default" w:ascii="Times New Roman" w:hAnsi="Times New Roman" w:cs="Times New Roman"/>
                <w:sz w:val="28"/>
                <w:szCs w:val="28"/>
                <w:highlight w:val="none"/>
              </w:rPr>
              <w:t>为斜桩设计纵轴线与铅垂线间夹角（</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w:t>
            </w:r>
          </w:p>
        </w:tc>
      </w:tr>
    </w:tbl>
    <w:p w14:paraId="0F885A25">
      <w:pPr>
        <w:pStyle w:val="35"/>
        <w:widowControl/>
        <w:spacing w:line="360" w:lineRule="auto"/>
        <w:ind w:left="0" w:firstLine="420"/>
        <w:rPr>
          <w:rFonts w:hint="default" w:ascii="Times New Roman" w:hAnsi="Times New Roman" w:cs="Times New Roman"/>
          <w:sz w:val="28"/>
          <w:szCs w:val="28"/>
          <w:highlight w:val="none"/>
          <w:lang w:val="en-US"/>
        </w:rPr>
      </w:pPr>
    </w:p>
    <w:p w14:paraId="688E326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接桩焊缝外观质量应符合表</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的要求。</w:t>
      </w:r>
    </w:p>
    <w:p w14:paraId="73ECAAA9">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接桩焊缝外观允许偏差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12"/>
        <w:gridCol w:w="1980"/>
        <w:gridCol w:w="1319"/>
        <w:gridCol w:w="1061"/>
        <w:gridCol w:w="2239"/>
      </w:tblGrid>
      <w:tr w14:paraId="0FE04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2258"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24FBB59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212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590177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6D095C8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551"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7A3C7E3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611F7A4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5C4B7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6F3939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12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2FCAB0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417" w:type="dxa"/>
            <w:tcBorders>
              <w:top w:val="single" w:color="auto" w:sz="8" w:space="0"/>
              <w:left w:val="single" w:color="auto" w:sz="4" w:space="0"/>
              <w:bottom w:val="single" w:color="auto" w:sz="4" w:space="0"/>
              <w:right w:val="single" w:color="auto" w:sz="4" w:space="0"/>
            </w:tcBorders>
            <w:shd w:val="clear" w:color="auto" w:fill="auto"/>
            <w:vAlign w:val="center"/>
          </w:tcPr>
          <w:p w14:paraId="62F65B0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3426724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2AD2ED4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43C99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4F6CEA1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咬边深度（焊缝）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884AD2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p>
        </w:tc>
        <w:tc>
          <w:tcPr>
            <w:tcW w:w="1417"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1F08137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每条焊道</w:t>
            </w:r>
          </w:p>
        </w:tc>
        <w:tc>
          <w:tcPr>
            <w:tcW w:w="1135"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781BC6F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138B42C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用焊缝量规、钢尺量</w:t>
            </w:r>
          </w:p>
        </w:tc>
      </w:tr>
      <w:tr w14:paraId="73856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448B4E7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加强层高度（焊缝）</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02DA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p w14:paraId="25353B9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w:t>
            </w:r>
          </w:p>
        </w:tc>
        <w:tc>
          <w:tcPr>
            <w:tcW w:w="141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2B46A24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76FB16E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562B37E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57694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598E993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加强层宽度（焊缝）</w:t>
            </w: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2C24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41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365F5A2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5C728EB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33F7698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2050F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4" w:space="0"/>
              <w:right w:val="single" w:color="auto" w:sz="4" w:space="0"/>
            </w:tcBorders>
            <w:shd w:val="clear" w:color="auto" w:fill="auto"/>
            <w:vAlign w:val="center"/>
          </w:tcPr>
          <w:p w14:paraId="76E5A01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钢管桩上下节错台公称直径</w:t>
            </w:r>
            <w:r>
              <w:rPr>
                <w:rFonts w:hint="default" w:ascii="Times New Roman" w:hAnsi="Times New Roman" w:cs="Times New Roman"/>
                <w:sz w:val="28"/>
                <w:szCs w:val="28"/>
                <w:highlight w:val="none"/>
                <w:lang w:val="en-US"/>
              </w:rPr>
              <w:t>≥700 mm</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7F8471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141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256AADF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DFD998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restart"/>
            <w:tcBorders>
              <w:top w:val="single" w:color="auto" w:sz="4" w:space="0"/>
              <w:left w:val="single" w:color="auto" w:sz="4" w:space="0"/>
              <w:bottom w:val="single" w:color="auto" w:sz="8" w:space="0"/>
              <w:right w:val="single" w:color="auto" w:sz="8" w:space="0"/>
            </w:tcBorders>
            <w:shd w:val="clear" w:color="auto" w:fill="auto"/>
            <w:vAlign w:val="center"/>
          </w:tcPr>
          <w:p w14:paraId="307FB69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用钢板尺和塞尺量</w:t>
            </w:r>
          </w:p>
        </w:tc>
      </w:tr>
      <w:tr w14:paraId="6F5F4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4" w:space="0"/>
              <w:left w:val="single" w:color="auto" w:sz="8" w:space="0"/>
              <w:bottom w:val="single" w:color="auto" w:sz="8" w:space="0"/>
              <w:right w:val="single" w:color="auto" w:sz="4" w:space="0"/>
            </w:tcBorders>
            <w:shd w:val="clear" w:color="auto" w:fill="auto"/>
            <w:vAlign w:val="center"/>
          </w:tcPr>
          <w:p w14:paraId="5F06BAF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钢管桩上下节错台公称直径</w:t>
            </w:r>
            <w:r>
              <w:rPr>
                <w:rFonts w:hint="default" w:ascii="Times New Roman" w:hAnsi="Times New Roman" w:cs="Times New Roman"/>
                <w:sz w:val="28"/>
                <w:szCs w:val="28"/>
                <w:highlight w:val="none"/>
                <w:lang w:val="en-US"/>
              </w:rPr>
              <w:t>&lt;700 mm</w:t>
            </w:r>
          </w:p>
        </w:tc>
        <w:tc>
          <w:tcPr>
            <w:tcW w:w="2127" w:type="dxa"/>
            <w:tcBorders>
              <w:top w:val="single" w:color="auto" w:sz="4" w:space="0"/>
              <w:left w:val="single" w:color="auto" w:sz="4" w:space="0"/>
              <w:bottom w:val="single" w:color="auto" w:sz="8" w:space="0"/>
              <w:right w:val="single" w:color="auto" w:sz="4" w:space="0"/>
            </w:tcBorders>
            <w:shd w:val="clear" w:color="auto" w:fill="auto"/>
            <w:vAlign w:val="center"/>
          </w:tcPr>
          <w:p w14:paraId="3FFB458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141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FB564C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FB3D66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8" w:space="0"/>
              <w:right w:val="single" w:color="auto" w:sz="8" w:space="0"/>
            </w:tcBorders>
            <w:shd w:val="clear" w:color="auto" w:fill="auto"/>
            <w:vAlign w:val="center"/>
          </w:tcPr>
          <w:p w14:paraId="207CFBB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bl>
    <w:p w14:paraId="73439EA4">
      <w:pPr>
        <w:pStyle w:val="35"/>
        <w:widowControl/>
        <w:spacing w:line="360" w:lineRule="auto"/>
        <w:ind w:left="0" w:firstLine="420"/>
        <w:rPr>
          <w:rFonts w:hint="default" w:ascii="Times New Roman" w:hAnsi="Times New Roman" w:cs="Times New Roman"/>
          <w:sz w:val="28"/>
          <w:szCs w:val="28"/>
          <w:highlight w:val="none"/>
          <w:lang w:val="en-US"/>
        </w:rPr>
      </w:pPr>
    </w:p>
    <w:p w14:paraId="2AAA4D84">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混凝土灌注桩</w:t>
      </w:r>
    </w:p>
    <w:p w14:paraId="6C073690">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灌注桩成孔达到设计深度后，应核实地质情况，确认符合设计要求。</w:t>
      </w:r>
    </w:p>
    <w:p w14:paraId="4925354A">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灌注桩孔径、孔深应符合设计要求。</w:t>
      </w:r>
    </w:p>
    <w:p w14:paraId="07214D37">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灌注桩混凝土抗压强度应符合设计要求。</w:t>
      </w:r>
    </w:p>
    <w:p w14:paraId="285F433A">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灌注桩桩身不应出现断桩、缩径。</w:t>
      </w:r>
    </w:p>
    <w:p w14:paraId="2494E460">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灌注桩钢筋笼底端高程偏差不应大于</w:t>
      </w:r>
      <w:r>
        <w:rPr>
          <w:rFonts w:hint="default" w:ascii="Times New Roman" w:hAnsi="Times New Roman" w:cs="Times New Roman"/>
          <w:sz w:val="28"/>
          <w:szCs w:val="28"/>
          <w:highlight w:val="none"/>
          <w:lang w:val="en-US"/>
        </w:rPr>
        <w:t>50 mm</w:t>
      </w:r>
      <w:r>
        <w:rPr>
          <w:rFonts w:hint="default" w:ascii="Times New Roman" w:hAnsi="Times New Roman" w:cs="Times New Roman"/>
          <w:sz w:val="28"/>
          <w:szCs w:val="28"/>
          <w:highlight w:val="none"/>
          <w:lang w:eastAsia="zh-CN"/>
        </w:rPr>
        <w:t>。</w:t>
      </w:r>
    </w:p>
    <w:p w14:paraId="7ECAD268">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混凝土灌注桩允许偏差应符合表</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的要求。</w:t>
      </w:r>
    </w:p>
    <w:p w14:paraId="71B5F979">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混凝土灌注桩允许偏差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41"/>
        <w:gridCol w:w="1441"/>
        <w:gridCol w:w="1481"/>
        <w:gridCol w:w="1058"/>
        <w:gridCol w:w="1058"/>
        <w:gridCol w:w="2232"/>
      </w:tblGrid>
      <w:tr w14:paraId="36FFB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04948B15">
            <w:pPr>
              <w:pStyle w:val="43"/>
              <w:widowControl/>
              <w:spacing w:line="360" w:lineRule="auto"/>
              <w:rPr>
                <w:rFonts w:hint="default" w:ascii="Times New Roman" w:hAnsi="Times New Roman" w:cs="Times New Roman"/>
                <w:sz w:val="28"/>
                <w:szCs w:val="28"/>
                <w:highlight w:val="none"/>
                <w:lang w:val="en-US"/>
              </w:rPr>
            </w:pPr>
            <w:bookmarkStart w:id="41" w:name="OLE_LINK14"/>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67247F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3FE5462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56B05E2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130B13D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14960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036898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1A935F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400C2D8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4282E4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75DA654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5CE3D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A6FFC4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桩位</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86C8FC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群桩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4E2FBB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100</w:t>
            </w:r>
          </w:p>
        </w:tc>
        <w:tc>
          <w:tcPr>
            <w:tcW w:w="1135"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420CA7B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每根桩</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71427E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7260183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用全站仪检查</w:t>
            </w:r>
          </w:p>
        </w:tc>
      </w:tr>
      <w:tr w14:paraId="5D795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F530CE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0321E01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排架桩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0C842CA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A1649E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2F4503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2AF0C75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006BD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DEA8D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沉渣厚度</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63059B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摩擦桩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3FDF84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符合设计要求</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54E3C22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088BBB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0962279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沉淀盒或标准测锤，查灌注前记录</w:t>
            </w:r>
          </w:p>
        </w:tc>
      </w:tr>
      <w:tr w14:paraId="23987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066B5A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6941D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支承桩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0BEA052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不大于设计要</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4E7CF5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DA7ECC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6B28F0D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7EE56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2D2FFC1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垂直度</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63B320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钻孔桩</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024C8D3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桩长，且</w:t>
            </w:r>
            <w:r>
              <w:rPr>
                <w:rFonts w:hint="default" w:ascii="Times New Roman" w:hAnsi="Times New Roman" w:cs="Times New Roman"/>
                <w:sz w:val="28"/>
                <w:szCs w:val="28"/>
                <w:highlight w:val="none"/>
                <w:lang w:val="en-US"/>
              </w:rPr>
              <w:t>≤500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2BE1EB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99DB4A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3F6B997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用测壁仪或钻杆垂线和钢尺量</w:t>
            </w:r>
          </w:p>
        </w:tc>
      </w:tr>
      <w:tr w14:paraId="0317E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2BB248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8" w:space="0"/>
              <w:right w:val="single" w:color="auto" w:sz="4" w:space="0"/>
            </w:tcBorders>
            <w:shd w:val="clear" w:color="auto" w:fill="auto"/>
            <w:vAlign w:val="center"/>
          </w:tcPr>
          <w:p w14:paraId="4AC98A4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挖孔桩</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7A89FA3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rPr>
              <w:t>桩长，且</w:t>
            </w:r>
            <w:r>
              <w:rPr>
                <w:rFonts w:hint="default" w:ascii="Times New Roman" w:hAnsi="Times New Roman" w:cs="Times New Roman"/>
                <w:sz w:val="28"/>
                <w:szCs w:val="28"/>
                <w:highlight w:val="none"/>
                <w:lang w:val="en-US"/>
              </w:rPr>
              <w:t>≤200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0B9B312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31BB37D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21CB1C3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用垂线和钢尺量</w:t>
            </w:r>
          </w:p>
        </w:tc>
      </w:tr>
      <w:bookmarkEnd w:id="41"/>
    </w:tbl>
    <w:p w14:paraId="6E8EB0D3">
      <w:pPr>
        <w:pStyle w:val="35"/>
        <w:widowControl/>
        <w:spacing w:line="360" w:lineRule="auto"/>
        <w:ind w:left="0" w:firstLine="420"/>
        <w:rPr>
          <w:rFonts w:hint="default" w:ascii="Times New Roman" w:hAnsi="Times New Roman" w:cs="Times New Roman"/>
          <w:sz w:val="28"/>
          <w:szCs w:val="28"/>
          <w:highlight w:val="none"/>
          <w:lang w:val="en-US"/>
        </w:rPr>
      </w:pPr>
    </w:p>
    <w:p w14:paraId="1B81F0D4">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沉井基础</w:t>
      </w:r>
    </w:p>
    <w:p w14:paraId="748C0682">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钢壳沉井的钢材及其焊接质量应符合设计要求和国家现行标准的规定。</w:t>
      </w:r>
    </w:p>
    <w:p w14:paraId="5947075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钢壳沉井气筒应按受压容器的有关规定制造，并经水压（不应低于工作压力的</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倍）试验合格后方可投入使用。</w:t>
      </w:r>
    </w:p>
    <w:p w14:paraId="4910CE16">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预制浮式沉井在下水、浮运前，应进行水密性试验，合格后方可下水。</w:t>
      </w:r>
    </w:p>
    <w:p w14:paraId="4A353D83">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钢壳沉井底节应进行水压试验，其余各节进行水密检查，合格后方可下水。</w:t>
      </w:r>
    </w:p>
    <w:p w14:paraId="30C6508A">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就地浇筑沉井，首节应在井壁混凝土达到设计强度后下沉；其上各节达到设计强度的</w:t>
      </w:r>
      <w:r>
        <w:rPr>
          <w:rFonts w:hint="default" w:ascii="Times New Roman" w:hAnsi="Times New Roman" w:cs="Times New Roman"/>
          <w:sz w:val="28"/>
          <w:szCs w:val="28"/>
          <w:highlight w:val="none"/>
          <w:lang w:val="en-US"/>
        </w:rPr>
        <w:t>75%</w:t>
      </w:r>
      <w:r>
        <w:rPr>
          <w:rFonts w:hint="default" w:ascii="Times New Roman" w:hAnsi="Times New Roman" w:cs="Times New Roman"/>
          <w:sz w:val="28"/>
          <w:szCs w:val="28"/>
          <w:highlight w:val="none"/>
          <w:lang w:eastAsia="zh-CN"/>
        </w:rPr>
        <w:t>后方可下沉。</w:t>
      </w:r>
    </w:p>
    <w:p w14:paraId="049B2BC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下沉后内壁不应渗漏。</w:t>
      </w:r>
    </w:p>
    <w:p w14:paraId="5AD832B7">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混凝土沉井制作允许偏差应符合表</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的要求。</w:t>
      </w:r>
    </w:p>
    <w:p w14:paraId="5F720911">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混凝土沉井制作允许偏差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36"/>
        <w:gridCol w:w="1462"/>
        <w:gridCol w:w="1478"/>
        <w:gridCol w:w="1055"/>
        <w:gridCol w:w="1055"/>
        <w:gridCol w:w="2225"/>
      </w:tblGrid>
      <w:tr w14:paraId="6A60E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FB64EE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7D8FD6A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4F2CA20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0B3C0A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1E5C947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73F3D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391CE5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C87B66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31E8728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2FBB4E5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7D30BBC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31AAA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0065E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沉井尺寸</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C9AE3A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长、宽</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E74AF1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rPr>
              <w:t>边长，大于</w:t>
            </w:r>
            <w:r>
              <w:rPr>
                <w:rFonts w:hint="default" w:ascii="Times New Roman" w:hAnsi="Times New Roman" w:cs="Times New Roman"/>
                <w:sz w:val="28"/>
                <w:szCs w:val="28"/>
                <w:highlight w:val="none"/>
                <w:lang w:val="en-US"/>
              </w:rPr>
              <w:t>24m</w:t>
            </w:r>
            <w:r>
              <w:rPr>
                <w:rFonts w:hint="default" w:ascii="Times New Roman" w:hAnsi="Times New Roman" w:cs="Times New Roman"/>
                <w:sz w:val="28"/>
                <w:szCs w:val="28"/>
                <w:highlight w:val="none"/>
              </w:rPr>
              <w:t>时</w:t>
            </w:r>
            <w:r>
              <w:rPr>
                <w:rFonts w:hint="default" w:ascii="Times New Roman" w:hAnsi="Times New Roman" w:cs="Times New Roman"/>
                <w:sz w:val="28"/>
                <w:szCs w:val="28"/>
                <w:highlight w:val="none"/>
                <w:lang w:val="en-US"/>
              </w:rPr>
              <w:t>±120</w:t>
            </w:r>
          </w:p>
        </w:tc>
        <w:tc>
          <w:tcPr>
            <w:tcW w:w="1135"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46D2E2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每座</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62D8D2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40D1878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用钢尺量长、宽各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点</w:t>
            </w:r>
          </w:p>
        </w:tc>
      </w:tr>
      <w:tr w14:paraId="2CF52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C1580D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2F016F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半径</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306EBD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rPr>
              <w:t>边长，大于</w:t>
            </w:r>
            <w:r>
              <w:rPr>
                <w:rFonts w:hint="default" w:ascii="Times New Roman" w:hAnsi="Times New Roman" w:cs="Times New Roman"/>
                <w:sz w:val="28"/>
                <w:szCs w:val="28"/>
                <w:highlight w:val="none"/>
                <w:lang w:val="en-US"/>
              </w:rPr>
              <w:t>12m</w:t>
            </w:r>
            <w:r>
              <w:rPr>
                <w:rFonts w:hint="default" w:ascii="Times New Roman" w:hAnsi="Times New Roman" w:cs="Times New Roman"/>
                <w:sz w:val="28"/>
                <w:szCs w:val="28"/>
                <w:highlight w:val="none"/>
              </w:rPr>
              <w:t>时</w:t>
            </w:r>
            <w:r>
              <w:rPr>
                <w:rFonts w:hint="default" w:ascii="Times New Roman" w:hAnsi="Times New Roman" w:cs="Times New Roman"/>
                <w:sz w:val="28"/>
                <w:szCs w:val="28"/>
                <w:highlight w:val="none"/>
                <w:lang w:val="en-US"/>
              </w:rPr>
              <w:t>±60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0DDEDBB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D48555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27BCCCC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用钢尺量，每侧</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点</w:t>
            </w:r>
          </w:p>
        </w:tc>
      </w:tr>
      <w:tr w14:paraId="05C57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1EA57B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对角线长度差</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DA96A3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理论值，且</w:t>
            </w:r>
            <w:r>
              <w:rPr>
                <w:rFonts w:hint="default" w:ascii="Times New Roman" w:hAnsi="Times New Roman" w:cs="Times New Roman"/>
                <w:sz w:val="28"/>
                <w:szCs w:val="28"/>
                <w:highlight w:val="none"/>
                <w:lang w:val="en-US"/>
              </w:rPr>
              <w:t>80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4D50C0C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48003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6E60E68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用钢尺量，圆井量两个直径</w:t>
            </w:r>
          </w:p>
        </w:tc>
      </w:tr>
      <w:tr w14:paraId="72BEE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EEEEA8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井壁壁厚</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D62F41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混凝土</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DFDBD0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40</w:t>
            </w:r>
          </w:p>
          <w:p w14:paraId="697C825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-30</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7F0258C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D2C1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5B47DD6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用钢尺量，每侧</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点</w:t>
            </w:r>
          </w:p>
        </w:tc>
      </w:tr>
      <w:tr w14:paraId="6250D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3755C6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06150E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钢壳和钢筋混凝土</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DB929C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2E4DD4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27F4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2398"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701CC5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31985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7EC7FDD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平整度</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6A155B1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w:t>
            </w:r>
          </w:p>
        </w:tc>
        <w:tc>
          <w:tcPr>
            <w:tcW w:w="1135"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387E85C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7F196DC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73161F6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w:t>
            </w:r>
            <w:r>
              <w:rPr>
                <w:rFonts w:hint="default" w:ascii="Times New Roman" w:hAnsi="Times New Roman" w:cs="Times New Roman"/>
                <w:sz w:val="28"/>
                <w:szCs w:val="28"/>
                <w:highlight w:val="none"/>
                <w:lang w:val="en-US"/>
              </w:rPr>
              <w:t>2m</w:t>
            </w:r>
            <w:r>
              <w:rPr>
                <w:rFonts w:hint="default" w:ascii="Times New Roman" w:hAnsi="Times New Roman" w:cs="Times New Roman"/>
                <w:sz w:val="28"/>
                <w:szCs w:val="28"/>
                <w:highlight w:val="none"/>
              </w:rPr>
              <w:t>直尺、塞尺量，每侧各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rPr>
              <w:t>点</w:t>
            </w:r>
          </w:p>
        </w:tc>
      </w:tr>
    </w:tbl>
    <w:p w14:paraId="733938C0">
      <w:pPr>
        <w:pStyle w:val="35"/>
        <w:widowControl/>
        <w:spacing w:line="360" w:lineRule="auto"/>
        <w:ind w:left="0" w:firstLine="420"/>
        <w:rPr>
          <w:rFonts w:hint="default" w:ascii="Times New Roman" w:hAnsi="Times New Roman" w:cs="Times New Roman"/>
          <w:sz w:val="28"/>
          <w:szCs w:val="28"/>
          <w:highlight w:val="none"/>
          <w:lang w:val="en-US"/>
        </w:rPr>
      </w:pPr>
    </w:p>
    <w:p w14:paraId="7DC60E40">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混凝土沉井壁表面应无麻面和宽度超过</w:t>
      </w:r>
      <w:r>
        <w:rPr>
          <w:rFonts w:hint="default" w:ascii="Times New Roman" w:hAnsi="Times New Roman" w:cs="Times New Roman"/>
          <w:sz w:val="28"/>
          <w:szCs w:val="28"/>
          <w:highlight w:val="none"/>
          <w:lang w:val="en-US"/>
        </w:rPr>
        <w:t>0.15 mm</w:t>
      </w:r>
      <w:r>
        <w:rPr>
          <w:rFonts w:hint="default" w:ascii="Times New Roman" w:hAnsi="Times New Roman" w:cs="Times New Roman"/>
          <w:sz w:val="28"/>
          <w:szCs w:val="28"/>
          <w:highlight w:val="none"/>
          <w:lang w:eastAsia="zh-CN"/>
        </w:rPr>
        <w:t>的收缩裂缝。</w:t>
      </w:r>
    </w:p>
    <w:p w14:paraId="5884779C">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制作沉井下沉就位允许偏差应符合表</w:t>
      </w:r>
      <w:r>
        <w:rPr>
          <w:rFonts w:hint="default" w:ascii="Times New Roman" w:hAnsi="Times New Roman" w:cs="Times New Roman"/>
          <w:sz w:val="28"/>
          <w:szCs w:val="28"/>
          <w:highlight w:val="none"/>
          <w:lang w:val="en-US"/>
        </w:rPr>
        <w:t>11</w:t>
      </w:r>
      <w:r>
        <w:rPr>
          <w:rFonts w:hint="default" w:ascii="Times New Roman" w:hAnsi="Times New Roman" w:cs="Times New Roman"/>
          <w:sz w:val="28"/>
          <w:szCs w:val="28"/>
          <w:highlight w:val="none"/>
          <w:lang w:eastAsia="zh-CN"/>
        </w:rPr>
        <w:t>的要求。</w:t>
      </w:r>
    </w:p>
    <w:p w14:paraId="50AC9010">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制作沉井下沉就位允许偏差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06"/>
        <w:gridCol w:w="1487"/>
        <w:gridCol w:w="1091"/>
        <w:gridCol w:w="1092"/>
        <w:gridCol w:w="2235"/>
      </w:tblGrid>
      <w:tr w14:paraId="26A4A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51" w:hRule="atLeast"/>
          <w:tblHeader/>
          <w:jc w:val="center"/>
        </w:trPr>
        <w:tc>
          <w:tcPr>
            <w:tcW w:w="302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6CD7958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74"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5F5147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1339AA1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336"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3F75377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3"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7223ED0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2E32B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3020"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E9C74E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74"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286F78F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7" w:type="dxa"/>
            <w:tcBorders>
              <w:top w:val="single" w:color="auto" w:sz="8" w:space="0"/>
              <w:left w:val="single" w:color="auto" w:sz="4" w:space="0"/>
              <w:bottom w:val="single" w:color="auto" w:sz="4" w:space="0"/>
              <w:right w:val="single" w:color="auto" w:sz="4" w:space="0"/>
            </w:tcBorders>
            <w:shd w:val="clear" w:color="auto" w:fill="auto"/>
            <w:vAlign w:val="center"/>
          </w:tcPr>
          <w:p w14:paraId="2385020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69" w:type="dxa"/>
            <w:tcBorders>
              <w:top w:val="single" w:color="auto" w:sz="8" w:space="0"/>
              <w:left w:val="single" w:color="auto" w:sz="4" w:space="0"/>
              <w:bottom w:val="single" w:color="auto" w:sz="4" w:space="0"/>
              <w:right w:val="single" w:color="auto" w:sz="4" w:space="0"/>
            </w:tcBorders>
            <w:shd w:val="clear" w:color="auto" w:fill="auto"/>
            <w:vAlign w:val="center"/>
          </w:tcPr>
          <w:p w14:paraId="65F1C5E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3"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326E7BE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172F4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top"/>
          </w:tcPr>
          <w:p w14:paraId="01642C3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底面、顶面中心位置</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9D3D39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H/50</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EEC8A5">
            <w:pPr>
              <w:pStyle w:val="43"/>
              <w:widowControl/>
              <w:spacing w:line="360" w:lineRule="auto"/>
              <w:rPr>
                <w:rFonts w:hint="default" w:ascii="Times New Roman" w:hAnsi="Times New Roman" w:cs="Times New Roman"/>
                <w:sz w:val="28"/>
                <w:szCs w:val="28"/>
                <w:highlight w:val="none"/>
                <w:lang w:val="en-US"/>
              </w:rPr>
            </w:pPr>
            <w:bookmarkStart w:id="42" w:name="OLE_LINK16"/>
            <w:r>
              <w:rPr>
                <w:rFonts w:hint="default" w:ascii="Times New Roman" w:hAnsi="Times New Roman" w:cs="Times New Roman"/>
                <w:sz w:val="28"/>
                <w:szCs w:val="28"/>
                <w:highlight w:val="none"/>
              </w:rPr>
              <w:t>每座</w:t>
            </w:r>
            <w:bookmarkEnd w:id="42"/>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2E1718A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0AED6B9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用经纬仪测量纵横向各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0B3F0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top"/>
          </w:tcPr>
          <w:p w14:paraId="6DC6CFF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垂直度</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C28A59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H/50</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61CF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5204A86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1FCC150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w:t>
            </w:r>
          </w:p>
        </w:tc>
      </w:tr>
      <w:tr w14:paraId="037D9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top"/>
          </w:tcPr>
          <w:p w14:paraId="5934970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平面扭角</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345B9B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1º</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2217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34AC275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6DCC999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经纬仪检验纵、横轴线交点</w:t>
            </w:r>
          </w:p>
        </w:tc>
      </w:tr>
      <w:tr w14:paraId="2A96F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323" w:type="dxa"/>
            <w:gridSpan w:val="5"/>
            <w:tcBorders>
              <w:top w:val="single" w:color="auto" w:sz="4" w:space="0"/>
              <w:left w:val="single" w:color="auto" w:sz="8" w:space="0"/>
              <w:bottom w:val="single" w:color="auto" w:sz="8" w:space="0"/>
              <w:right w:val="single" w:color="auto" w:sz="8" w:space="0"/>
            </w:tcBorders>
            <w:shd w:val="clear" w:color="auto" w:fill="auto"/>
            <w:vAlign w:val="top"/>
          </w:tcPr>
          <w:p w14:paraId="440993F5">
            <w:pPr>
              <w:pStyle w:val="36"/>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w:t>
            </w:r>
            <w:r>
              <w:rPr>
                <w:rFonts w:hint="default" w:ascii="Times New Roman" w:hAnsi="Times New Roman" w:cs="Times New Roman"/>
                <w:sz w:val="28"/>
                <w:szCs w:val="28"/>
                <w:highlight w:val="none"/>
              </w:rPr>
              <w:t>为沉井高度（</w:t>
            </w:r>
            <w:r>
              <w:rPr>
                <w:rFonts w:hint="default" w:ascii="Times New Roman" w:hAnsi="Times New Roman" w:cs="Times New Roman"/>
                <w:sz w:val="28"/>
                <w:szCs w:val="28"/>
                <w:highlight w:val="none"/>
                <w:lang w:val="en-US"/>
              </w:rPr>
              <w:t>mm</w:t>
            </w:r>
            <w:r>
              <w:rPr>
                <w:rFonts w:hint="default" w:ascii="Times New Roman" w:hAnsi="Times New Roman" w:cs="Times New Roman"/>
                <w:sz w:val="28"/>
                <w:szCs w:val="28"/>
                <w:highlight w:val="none"/>
              </w:rPr>
              <w:t>）</w:t>
            </w:r>
          </w:p>
        </w:tc>
      </w:tr>
    </w:tbl>
    <w:p w14:paraId="2F4A3D81">
      <w:pPr>
        <w:pStyle w:val="35"/>
        <w:widowControl/>
        <w:spacing w:line="360" w:lineRule="auto"/>
        <w:ind w:left="0" w:firstLine="420"/>
        <w:rPr>
          <w:rFonts w:hint="default" w:ascii="Times New Roman" w:hAnsi="Times New Roman" w:cs="Times New Roman"/>
          <w:sz w:val="28"/>
          <w:szCs w:val="28"/>
          <w:highlight w:val="none"/>
          <w:lang w:val="en-US"/>
        </w:rPr>
      </w:pPr>
    </w:p>
    <w:p w14:paraId="5DA42C57">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浮式沉井下沉就位允许偏差应符合表</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的要求。</w:t>
      </w:r>
    </w:p>
    <w:p w14:paraId="75BBB474">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浮式沉井下沉就位允许偏差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787"/>
        <w:gridCol w:w="1534"/>
        <w:gridCol w:w="1084"/>
        <w:gridCol w:w="1086"/>
        <w:gridCol w:w="2220"/>
      </w:tblGrid>
      <w:tr w14:paraId="451E3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51" w:hRule="atLeast"/>
          <w:tblHeader/>
          <w:jc w:val="center"/>
        </w:trPr>
        <w:tc>
          <w:tcPr>
            <w:tcW w:w="302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74584BDC">
            <w:pPr>
              <w:pStyle w:val="43"/>
              <w:widowControl/>
              <w:spacing w:line="360" w:lineRule="auto"/>
              <w:rPr>
                <w:rFonts w:hint="default" w:ascii="Times New Roman" w:hAnsi="Times New Roman" w:cs="Times New Roman"/>
                <w:sz w:val="28"/>
                <w:szCs w:val="28"/>
                <w:highlight w:val="none"/>
                <w:lang w:val="en-US"/>
              </w:rPr>
            </w:pPr>
            <w:bookmarkStart w:id="43" w:name="OLE_LINK17"/>
            <w:r>
              <w:rPr>
                <w:rFonts w:hint="default" w:ascii="Times New Roman" w:hAnsi="Times New Roman" w:cs="Times New Roman"/>
                <w:sz w:val="28"/>
                <w:szCs w:val="28"/>
                <w:highlight w:val="none"/>
              </w:rPr>
              <w:t>项目</w:t>
            </w:r>
          </w:p>
        </w:tc>
        <w:tc>
          <w:tcPr>
            <w:tcW w:w="1574"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79CAAFC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53136EC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 mm</w:t>
            </w:r>
          </w:p>
        </w:tc>
        <w:tc>
          <w:tcPr>
            <w:tcW w:w="2336"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501603A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3"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488AB8D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2F9B8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3020"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D77E5A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74"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3F3FAFB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7" w:type="dxa"/>
            <w:tcBorders>
              <w:top w:val="single" w:color="auto" w:sz="8" w:space="0"/>
              <w:left w:val="single" w:color="auto" w:sz="4" w:space="0"/>
              <w:bottom w:val="single" w:color="auto" w:sz="4" w:space="0"/>
              <w:right w:val="single" w:color="auto" w:sz="4" w:space="0"/>
            </w:tcBorders>
            <w:shd w:val="clear" w:color="auto" w:fill="auto"/>
            <w:vAlign w:val="center"/>
          </w:tcPr>
          <w:p w14:paraId="7AFCCA4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69" w:type="dxa"/>
            <w:tcBorders>
              <w:top w:val="single" w:color="auto" w:sz="8" w:space="0"/>
              <w:left w:val="single" w:color="auto" w:sz="4" w:space="0"/>
              <w:bottom w:val="single" w:color="auto" w:sz="4" w:space="0"/>
              <w:right w:val="single" w:color="auto" w:sz="4" w:space="0"/>
            </w:tcBorders>
            <w:shd w:val="clear" w:color="auto" w:fill="auto"/>
            <w:vAlign w:val="center"/>
          </w:tcPr>
          <w:p w14:paraId="5A33902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3"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3BBF284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7319F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top"/>
          </w:tcPr>
          <w:p w14:paraId="2E0B6E8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底面、顶面中心位置</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15BC208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H/50+250</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FAA2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每座</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66DBAF4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2DD41A3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用经纬仪测量纵横向各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2FA3C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top"/>
          </w:tcPr>
          <w:p w14:paraId="42D486C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垂直度</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11CE82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H/50</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BCCB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241BC98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3814689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w:t>
            </w:r>
          </w:p>
        </w:tc>
      </w:tr>
      <w:tr w14:paraId="4E3F7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top"/>
          </w:tcPr>
          <w:p w14:paraId="0C3091B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平面扭角</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A39B04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2º</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4CFC1">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2B03E21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7206ECB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经纬仪检验纵、横轴线交点</w:t>
            </w:r>
          </w:p>
        </w:tc>
      </w:tr>
      <w:tr w14:paraId="7A365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323" w:type="dxa"/>
            <w:gridSpan w:val="5"/>
            <w:tcBorders>
              <w:top w:val="single" w:color="auto" w:sz="4" w:space="0"/>
              <w:left w:val="single" w:color="auto" w:sz="8" w:space="0"/>
              <w:bottom w:val="single" w:color="auto" w:sz="8" w:space="0"/>
              <w:right w:val="single" w:color="auto" w:sz="8" w:space="0"/>
            </w:tcBorders>
            <w:shd w:val="clear" w:color="auto" w:fill="auto"/>
            <w:vAlign w:val="top"/>
          </w:tcPr>
          <w:p w14:paraId="19A235D1">
            <w:pPr>
              <w:pStyle w:val="36"/>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w:t>
            </w:r>
            <w:r>
              <w:rPr>
                <w:rFonts w:hint="default" w:ascii="Times New Roman" w:hAnsi="Times New Roman" w:cs="Times New Roman"/>
                <w:sz w:val="28"/>
                <w:szCs w:val="28"/>
                <w:highlight w:val="none"/>
              </w:rPr>
              <w:t>为沉井高度（</w:t>
            </w:r>
            <w:r>
              <w:rPr>
                <w:rFonts w:hint="default" w:ascii="Times New Roman" w:hAnsi="Times New Roman" w:cs="Times New Roman"/>
                <w:sz w:val="28"/>
                <w:szCs w:val="28"/>
                <w:highlight w:val="none"/>
                <w:lang w:val="en-US"/>
              </w:rPr>
              <w:t>mm</w:t>
            </w:r>
            <w:r>
              <w:rPr>
                <w:rFonts w:hint="default" w:ascii="Times New Roman" w:hAnsi="Times New Roman" w:cs="Times New Roman"/>
                <w:sz w:val="28"/>
                <w:szCs w:val="28"/>
                <w:highlight w:val="none"/>
              </w:rPr>
              <w:t>）</w:t>
            </w:r>
          </w:p>
        </w:tc>
      </w:tr>
      <w:bookmarkEnd w:id="43"/>
    </w:tbl>
    <w:p w14:paraId="4DEB5272">
      <w:pPr>
        <w:pStyle w:val="35"/>
        <w:widowControl/>
        <w:spacing w:line="360" w:lineRule="auto"/>
        <w:ind w:left="0" w:firstLine="420"/>
        <w:rPr>
          <w:rFonts w:hint="default" w:ascii="Times New Roman" w:hAnsi="Times New Roman" w:cs="Times New Roman"/>
          <w:sz w:val="28"/>
          <w:szCs w:val="28"/>
          <w:highlight w:val="none"/>
          <w:lang w:val="en-US"/>
        </w:rPr>
      </w:pPr>
    </w:p>
    <w:p w14:paraId="00968622">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封底填充混凝土应在沉井在软土中沉至设计高程并清基后，待</w:t>
      </w:r>
      <w:r>
        <w:rPr>
          <w:rFonts w:hint="default" w:ascii="Times New Roman" w:hAnsi="Times New Roman" w:cs="Times New Roman"/>
          <w:sz w:val="28"/>
          <w:szCs w:val="28"/>
          <w:highlight w:val="none"/>
          <w:lang w:val="en-US"/>
        </w:rPr>
        <w:t>8 h</w:t>
      </w:r>
      <w:r>
        <w:rPr>
          <w:rFonts w:hint="default" w:ascii="Times New Roman" w:hAnsi="Times New Roman" w:cs="Times New Roman"/>
          <w:sz w:val="28"/>
          <w:szCs w:val="28"/>
          <w:highlight w:val="none"/>
          <w:lang w:eastAsia="zh-CN"/>
        </w:rPr>
        <w:t>内累计下沉小于</w:t>
      </w:r>
      <w:r>
        <w:rPr>
          <w:rFonts w:hint="default" w:ascii="Times New Roman" w:hAnsi="Times New Roman" w:cs="Times New Roman"/>
          <w:sz w:val="28"/>
          <w:szCs w:val="28"/>
          <w:highlight w:val="none"/>
          <w:lang w:val="en-US"/>
        </w:rPr>
        <w:t>3510 mm</w:t>
      </w:r>
      <w:r>
        <w:rPr>
          <w:rFonts w:hint="default" w:ascii="Times New Roman" w:hAnsi="Times New Roman" w:cs="Times New Roman"/>
          <w:sz w:val="28"/>
          <w:szCs w:val="28"/>
          <w:highlight w:val="none"/>
          <w:lang w:eastAsia="zh-CN"/>
        </w:rPr>
        <w:t>时，方可施工。</w:t>
      </w:r>
    </w:p>
    <w:p w14:paraId="36BAF066">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沉井应在封底混凝土强度达到设计要求后方可进行抽水填充。</w:t>
      </w:r>
    </w:p>
    <w:p w14:paraId="49607A61">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地下连续墙</w:t>
      </w:r>
    </w:p>
    <w:p w14:paraId="192FBE29">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成槽的深度应符合设计要求。</w:t>
      </w:r>
    </w:p>
    <w:p w14:paraId="4F2234DF">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水下混凝土质量检验应符合下列要求：</w:t>
      </w:r>
    </w:p>
    <w:p w14:paraId="6DCCA92A">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墙身不应有夹层、局部凹进。</w:t>
      </w:r>
    </w:p>
    <w:p w14:paraId="6E6A6901">
      <w:pPr>
        <w:pStyle w:val="42"/>
        <w:widowControl/>
        <w:numPr>
          <w:ilvl w:val="0"/>
          <w:numId w:val="6"/>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接头处理应符合施工设计要求。</w:t>
      </w:r>
    </w:p>
    <w:p w14:paraId="5E90C2AC">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地下连续墙允许偏差应符合表</w:t>
      </w:r>
      <w:r>
        <w:rPr>
          <w:rFonts w:hint="default" w:ascii="Times New Roman" w:hAnsi="Times New Roman" w:cs="Times New Roman"/>
          <w:sz w:val="28"/>
          <w:szCs w:val="28"/>
          <w:highlight w:val="none"/>
          <w:lang w:val="en-US"/>
        </w:rPr>
        <w:t>13</w:t>
      </w:r>
      <w:r>
        <w:rPr>
          <w:rFonts w:hint="default" w:ascii="Times New Roman" w:hAnsi="Times New Roman" w:cs="Times New Roman"/>
          <w:sz w:val="28"/>
          <w:szCs w:val="28"/>
          <w:highlight w:val="none"/>
          <w:lang w:eastAsia="zh-CN"/>
        </w:rPr>
        <w:t>的要求。</w:t>
      </w:r>
    </w:p>
    <w:p w14:paraId="11DC606B">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地下连续墙允许偏差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791"/>
        <w:gridCol w:w="1492"/>
        <w:gridCol w:w="1093"/>
        <w:gridCol w:w="1095"/>
        <w:gridCol w:w="2240"/>
      </w:tblGrid>
      <w:tr w14:paraId="07B21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51" w:hRule="atLeast"/>
          <w:tblHeader/>
          <w:jc w:val="center"/>
        </w:trPr>
        <w:tc>
          <w:tcPr>
            <w:tcW w:w="302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05AB9BE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74"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A9682B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1A23575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mm</w:t>
            </w:r>
          </w:p>
        </w:tc>
        <w:tc>
          <w:tcPr>
            <w:tcW w:w="2336"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50AFC8A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3"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2DB161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5A238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3020"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3174D2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74"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37D4958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7" w:type="dxa"/>
            <w:tcBorders>
              <w:top w:val="single" w:color="auto" w:sz="8" w:space="0"/>
              <w:left w:val="single" w:color="auto" w:sz="4" w:space="0"/>
              <w:bottom w:val="single" w:color="auto" w:sz="4" w:space="0"/>
              <w:right w:val="single" w:color="auto" w:sz="4" w:space="0"/>
            </w:tcBorders>
            <w:shd w:val="clear" w:color="auto" w:fill="auto"/>
            <w:vAlign w:val="center"/>
          </w:tcPr>
          <w:p w14:paraId="68FBBA4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69" w:type="dxa"/>
            <w:tcBorders>
              <w:top w:val="single" w:color="auto" w:sz="8" w:space="0"/>
              <w:left w:val="single" w:color="auto" w:sz="4" w:space="0"/>
              <w:bottom w:val="single" w:color="auto" w:sz="4" w:space="0"/>
              <w:right w:val="single" w:color="auto" w:sz="4" w:space="0"/>
            </w:tcBorders>
            <w:shd w:val="clear" w:color="auto" w:fill="auto"/>
            <w:vAlign w:val="center"/>
          </w:tcPr>
          <w:p w14:paraId="0A936C9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3"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0587D3C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34C29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center"/>
          </w:tcPr>
          <w:p w14:paraId="091E64A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轴线偏位</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B66F28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30</w:t>
            </w:r>
          </w:p>
        </w:tc>
        <w:tc>
          <w:tcPr>
            <w:tcW w:w="1167"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7173392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每单元段或每槽段</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4532DEB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251503A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w:t>
            </w:r>
          </w:p>
        </w:tc>
      </w:tr>
      <w:tr w14:paraId="09494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center"/>
          </w:tcPr>
          <w:p w14:paraId="03445A6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外形尺寸</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080A9DB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30</w:t>
            </w:r>
          </w:p>
          <w:p w14:paraId="40F998D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w:t>
            </w:r>
          </w:p>
        </w:tc>
        <w:tc>
          <w:tcPr>
            <w:tcW w:w="11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55692AE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3519B59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1CBDEAE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用钢尺量一个断面</w:t>
            </w:r>
          </w:p>
        </w:tc>
      </w:tr>
      <w:tr w14:paraId="20F45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center"/>
          </w:tcPr>
          <w:p w14:paraId="2F4CEB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垂直度</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1E40DE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rPr>
              <w:t>墙高</w:t>
            </w:r>
          </w:p>
        </w:tc>
        <w:tc>
          <w:tcPr>
            <w:tcW w:w="11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0F3D87F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60C10A2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28C0601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用超声波测槽仪检验</w:t>
            </w:r>
          </w:p>
        </w:tc>
      </w:tr>
      <w:tr w14:paraId="19F25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4" w:space="0"/>
              <w:right w:val="single" w:color="auto" w:sz="4" w:space="0"/>
            </w:tcBorders>
            <w:shd w:val="clear" w:color="auto" w:fill="auto"/>
            <w:vAlign w:val="center"/>
          </w:tcPr>
          <w:p w14:paraId="3A81C65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顶面高程</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176BD4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11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6520D42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3FA144D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3" w:type="dxa"/>
            <w:tcBorders>
              <w:top w:val="single" w:color="auto" w:sz="4" w:space="0"/>
              <w:left w:val="single" w:color="auto" w:sz="4" w:space="0"/>
              <w:bottom w:val="single" w:color="auto" w:sz="4" w:space="0"/>
              <w:right w:val="single" w:color="auto" w:sz="8" w:space="0"/>
            </w:tcBorders>
            <w:shd w:val="clear" w:color="auto" w:fill="auto"/>
            <w:vAlign w:val="center"/>
          </w:tcPr>
          <w:p w14:paraId="3D9BB0B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用水准仪测量</w:t>
            </w:r>
          </w:p>
        </w:tc>
      </w:tr>
      <w:tr w14:paraId="45DBB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3020" w:type="dxa"/>
            <w:tcBorders>
              <w:top w:val="single" w:color="auto" w:sz="4" w:space="0"/>
              <w:left w:val="single" w:color="auto" w:sz="8" w:space="0"/>
              <w:bottom w:val="single" w:color="auto" w:sz="8" w:space="0"/>
              <w:right w:val="single" w:color="auto" w:sz="4" w:space="0"/>
            </w:tcBorders>
            <w:shd w:val="clear" w:color="auto" w:fill="auto"/>
            <w:vAlign w:val="center"/>
          </w:tcPr>
          <w:p w14:paraId="006818E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沉渣厚度</w:t>
            </w:r>
          </w:p>
        </w:tc>
        <w:tc>
          <w:tcPr>
            <w:tcW w:w="1574" w:type="dxa"/>
            <w:tcBorders>
              <w:top w:val="single" w:color="auto" w:sz="4" w:space="0"/>
              <w:left w:val="single" w:color="auto" w:sz="4" w:space="0"/>
              <w:bottom w:val="single" w:color="auto" w:sz="8" w:space="0"/>
              <w:right w:val="single" w:color="auto" w:sz="4" w:space="0"/>
            </w:tcBorders>
            <w:shd w:val="clear" w:color="auto" w:fill="auto"/>
            <w:vAlign w:val="center"/>
          </w:tcPr>
          <w:p w14:paraId="688EA73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符合设计要</w:t>
            </w:r>
          </w:p>
        </w:tc>
        <w:tc>
          <w:tcPr>
            <w:tcW w:w="11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065B0A8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69" w:type="dxa"/>
            <w:tcBorders>
              <w:top w:val="single" w:color="auto" w:sz="4" w:space="0"/>
              <w:left w:val="single" w:color="auto" w:sz="4" w:space="0"/>
              <w:bottom w:val="single" w:color="auto" w:sz="8" w:space="0"/>
              <w:right w:val="single" w:color="auto" w:sz="4" w:space="0"/>
            </w:tcBorders>
            <w:shd w:val="clear" w:color="auto" w:fill="auto"/>
            <w:vAlign w:val="center"/>
          </w:tcPr>
          <w:p w14:paraId="6E4F9AA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2393" w:type="dxa"/>
            <w:tcBorders>
              <w:top w:val="single" w:color="auto" w:sz="4" w:space="0"/>
              <w:left w:val="single" w:color="auto" w:sz="4" w:space="0"/>
              <w:bottom w:val="single" w:color="auto" w:sz="8" w:space="0"/>
              <w:right w:val="single" w:color="auto" w:sz="8" w:space="0"/>
            </w:tcBorders>
            <w:shd w:val="clear" w:color="auto" w:fill="auto"/>
            <w:vAlign w:val="center"/>
          </w:tcPr>
          <w:p w14:paraId="76C007E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用重锤或沉积物测定仪（沉淀盒）</w:t>
            </w:r>
          </w:p>
        </w:tc>
      </w:tr>
    </w:tbl>
    <w:p w14:paraId="3540E5A8">
      <w:pPr>
        <w:pStyle w:val="35"/>
        <w:widowControl/>
        <w:spacing w:line="360" w:lineRule="auto"/>
        <w:ind w:left="0" w:firstLine="420"/>
        <w:rPr>
          <w:rFonts w:hint="default" w:ascii="Times New Roman" w:hAnsi="Times New Roman" w:cs="Times New Roman"/>
          <w:sz w:val="28"/>
          <w:szCs w:val="28"/>
          <w:highlight w:val="none"/>
          <w:lang w:val="en-US"/>
        </w:rPr>
      </w:pPr>
    </w:p>
    <w:p w14:paraId="70B51361">
      <w:pPr>
        <w:pStyle w:val="38"/>
        <w:widowControl/>
        <w:numPr>
          <w:ilvl w:val="2"/>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现浇混凝土承台</w:t>
      </w:r>
    </w:p>
    <w:p w14:paraId="017F5B2F">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混凝土承台允许偏差应符合表</w:t>
      </w:r>
      <w:r>
        <w:rPr>
          <w:rFonts w:hint="default" w:ascii="Times New Roman" w:hAnsi="Times New Roman" w:cs="Times New Roman"/>
          <w:sz w:val="28"/>
          <w:szCs w:val="28"/>
          <w:highlight w:val="none"/>
          <w:lang w:val="en-US"/>
        </w:rPr>
        <w:t>14</w:t>
      </w:r>
      <w:r>
        <w:rPr>
          <w:rFonts w:hint="default" w:ascii="Times New Roman" w:hAnsi="Times New Roman" w:cs="Times New Roman"/>
          <w:sz w:val="28"/>
          <w:szCs w:val="28"/>
          <w:highlight w:val="none"/>
          <w:lang w:eastAsia="zh-CN"/>
        </w:rPr>
        <w:t>的要求。</w:t>
      </w:r>
    </w:p>
    <w:p w14:paraId="485CB0DD">
      <w:pPr>
        <w:pStyle w:val="41"/>
        <w:widowControl/>
        <w:numPr>
          <w:ilvl w:val="0"/>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混凝土承台允许偏差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41"/>
        <w:gridCol w:w="1466"/>
        <w:gridCol w:w="1454"/>
        <w:gridCol w:w="1058"/>
        <w:gridCol w:w="1059"/>
        <w:gridCol w:w="2233"/>
      </w:tblGrid>
      <w:tr w14:paraId="48A83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CDCED6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B7BB72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允许偏差</w:t>
            </w:r>
          </w:p>
          <w:p w14:paraId="073A350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mm</w:t>
            </w:r>
          </w:p>
        </w:tc>
        <w:tc>
          <w:tcPr>
            <w:tcW w:w="226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5E5E82A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检验频率</w:t>
            </w:r>
          </w:p>
        </w:tc>
        <w:tc>
          <w:tcPr>
            <w:tcW w:w="2398"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1370CDA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检验方法</w:t>
            </w:r>
          </w:p>
        </w:tc>
      </w:tr>
      <w:tr w14:paraId="2B9EB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AB61A6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5"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6E1C887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3E5A479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范围</w:t>
            </w:r>
          </w:p>
        </w:tc>
        <w:tc>
          <w:tcPr>
            <w:tcW w:w="1135" w:type="dxa"/>
            <w:tcBorders>
              <w:top w:val="single" w:color="auto" w:sz="8" w:space="0"/>
              <w:left w:val="single" w:color="auto" w:sz="4" w:space="0"/>
              <w:bottom w:val="single" w:color="auto" w:sz="4" w:space="0"/>
              <w:right w:val="single" w:color="auto" w:sz="4" w:space="0"/>
            </w:tcBorders>
            <w:shd w:val="clear" w:color="auto" w:fill="auto"/>
            <w:vAlign w:val="center"/>
          </w:tcPr>
          <w:p w14:paraId="62371CB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点数</w:t>
            </w:r>
          </w:p>
        </w:tc>
        <w:tc>
          <w:tcPr>
            <w:tcW w:w="2398"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70924A4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5F7C3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4" w:space="0"/>
              <w:left w:val="single" w:color="auto" w:sz="8" w:space="0"/>
              <w:bottom w:val="single" w:color="auto" w:sz="4" w:space="0"/>
              <w:right w:val="single" w:color="auto" w:sz="4" w:space="0"/>
            </w:tcBorders>
            <w:shd w:val="clear" w:color="auto" w:fill="auto"/>
            <w:vAlign w:val="center"/>
          </w:tcPr>
          <w:p w14:paraId="324E1CC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断面尺寸</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BBA7AE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长、宽</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0FD387DC">
            <w:pPr>
              <w:pStyle w:val="43"/>
              <w:widowControl/>
              <w:spacing w:line="360" w:lineRule="auto"/>
              <w:rPr>
                <w:rFonts w:hint="default" w:ascii="Times New Roman" w:hAnsi="Times New Roman" w:cs="Times New Roman"/>
                <w:sz w:val="28"/>
                <w:szCs w:val="28"/>
                <w:highlight w:val="none"/>
                <w:lang w:val="en-US"/>
              </w:rPr>
            </w:pPr>
            <w:bookmarkStart w:id="44" w:name="OLE_LINK18"/>
            <w:r>
              <w:rPr>
                <w:rFonts w:hint="default" w:ascii="Times New Roman" w:hAnsi="Times New Roman" w:cs="Times New Roman"/>
                <w:sz w:val="28"/>
                <w:szCs w:val="28"/>
                <w:highlight w:val="none"/>
                <w:lang w:val="en-US"/>
              </w:rPr>
              <w:t>±20</w:t>
            </w:r>
            <w:bookmarkEnd w:id="44"/>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2566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每座</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451068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54A78C4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用钢尺量，长、宽各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33265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CD04C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承台厚度</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ACEAED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w:t>
            </w:r>
          </w:p>
          <w:p w14:paraId="4C6BD32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DEC2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9134FD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4DB0A4A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用钢尺量</w:t>
            </w:r>
          </w:p>
        </w:tc>
      </w:tr>
      <w:tr w14:paraId="11D9E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D21C3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顶面高程</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947621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2CC8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B11B24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5F131B5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用水准仪测量测量四角</w:t>
            </w:r>
          </w:p>
        </w:tc>
      </w:tr>
      <w:tr w14:paraId="09310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2D87A1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轴线偏位</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A2992F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w:t>
            </w: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8541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3DD39E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2398" w:type="dxa"/>
            <w:tcBorders>
              <w:top w:val="single" w:color="auto" w:sz="4" w:space="0"/>
              <w:left w:val="single" w:color="auto" w:sz="4" w:space="0"/>
              <w:bottom w:val="single" w:color="auto" w:sz="4" w:space="0"/>
              <w:right w:val="single" w:color="auto" w:sz="8" w:space="0"/>
            </w:tcBorders>
            <w:shd w:val="clear" w:color="auto" w:fill="auto"/>
            <w:vAlign w:val="center"/>
          </w:tcPr>
          <w:p w14:paraId="5752581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用经纬仪测量，纵、横各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点</w:t>
            </w:r>
          </w:p>
        </w:tc>
      </w:tr>
      <w:tr w14:paraId="479CA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6C6CFD0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预埋件位置</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49E293D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2A5A249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每件</w:t>
            </w:r>
          </w:p>
        </w:tc>
        <w:tc>
          <w:tcPr>
            <w:tcW w:w="1135" w:type="dxa"/>
            <w:tcBorders>
              <w:top w:val="single" w:color="auto" w:sz="4" w:space="0"/>
              <w:left w:val="single" w:color="auto" w:sz="4" w:space="0"/>
              <w:bottom w:val="single" w:color="auto" w:sz="8" w:space="0"/>
              <w:right w:val="single" w:color="auto" w:sz="4" w:space="0"/>
            </w:tcBorders>
            <w:shd w:val="clear" w:color="auto" w:fill="auto"/>
            <w:vAlign w:val="center"/>
          </w:tcPr>
          <w:p w14:paraId="428DA1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2398" w:type="dxa"/>
            <w:tcBorders>
              <w:top w:val="single" w:color="auto" w:sz="4" w:space="0"/>
              <w:left w:val="single" w:color="auto" w:sz="4" w:space="0"/>
              <w:bottom w:val="single" w:color="auto" w:sz="8" w:space="0"/>
              <w:right w:val="single" w:color="auto" w:sz="8" w:space="0"/>
            </w:tcBorders>
            <w:shd w:val="clear" w:color="auto" w:fill="auto"/>
            <w:vAlign w:val="center"/>
          </w:tcPr>
          <w:p w14:paraId="5C6BB6B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经纬仪放线，用钢尺量</w:t>
            </w:r>
          </w:p>
        </w:tc>
      </w:tr>
    </w:tbl>
    <w:p w14:paraId="622E952F">
      <w:pPr>
        <w:pStyle w:val="35"/>
        <w:widowControl/>
        <w:spacing w:line="360" w:lineRule="auto"/>
        <w:ind w:left="0" w:firstLine="420"/>
        <w:rPr>
          <w:rFonts w:hint="default" w:ascii="Times New Roman" w:hAnsi="Times New Roman" w:cs="Times New Roman"/>
          <w:sz w:val="28"/>
          <w:szCs w:val="28"/>
          <w:highlight w:val="none"/>
          <w:lang w:val="en-US"/>
        </w:rPr>
      </w:pPr>
    </w:p>
    <w:p w14:paraId="2012AB66">
      <w:pPr>
        <w:pStyle w:val="37"/>
        <w:widowControl/>
        <w:numPr>
          <w:ilvl w:val="3"/>
          <w:numId w:val="4"/>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承台表面应无空洞、露筋、缺棱掉角、蜂窝、麻面和宽度超过</w:t>
      </w:r>
      <w:r>
        <w:rPr>
          <w:rFonts w:hint="default" w:ascii="Times New Roman" w:hAnsi="Times New Roman" w:cs="Times New Roman"/>
          <w:sz w:val="28"/>
          <w:szCs w:val="28"/>
          <w:highlight w:val="none"/>
          <w:lang w:val="en-US"/>
        </w:rPr>
        <w:t>0.15 mm</w:t>
      </w:r>
      <w:r>
        <w:rPr>
          <w:rFonts w:hint="default" w:ascii="Times New Roman" w:hAnsi="Times New Roman" w:cs="Times New Roman"/>
          <w:sz w:val="28"/>
          <w:szCs w:val="28"/>
          <w:highlight w:val="none"/>
          <w:lang w:eastAsia="zh-CN"/>
        </w:rPr>
        <w:t>的收缩裂缝。</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5"/>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6"/>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7"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7"/>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市政道路及桥梁工程</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8"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8"/>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9"/>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50"/>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1"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1"/>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2"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2"/>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3"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3"/>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20C13"/>
    <w:multiLevelType w:val="multilevel"/>
    <w:tmpl w:val="99320C13"/>
    <w:lvl w:ilvl="0" w:tentative="0">
      <w:start w:val="1"/>
      <w:numFmt w:val="decimal"/>
      <w:pStyle w:val="4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pStyle w:val="34"/>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FEFD0AD3"/>
    <w:multiLevelType w:val="multilevel"/>
    <w:tmpl w:val="FEFD0AD3"/>
    <w:lvl w:ilvl="0" w:tentative="0">
      <w:start w:val="1"/>
      <w:numFmt w:val="decimal"/>
      <w:pStyle w:val="40"/>
      <w:suff w:val="nothing"/>
      <w:lvlText w:val="注%1："/>
      <w:lvlJc w:val="left"/>
      <w:pPr>
        <w:ind w:left="811" w:hanging="448"/>
      </w:pPr>
      <w:rPr>
        <w:rFonts w:hint="eastAsia" w:ascii="黑体" w:hAnsi="Times New Roman" w:eastAsia="黑体" w:cs="黑体"/>
        <w:b w:val="0"/>
        <w:i w:val="0"/>
        <w:sz w:val="18"/>
      </w:rPr>
    </w:lvl>
    <w:lvl w:ilvl="1" w:tentative="0">
      <w:start w:val="1"/>
      <w:numFmt w:val="lowerLetter"/>
      <w:lvlText w:val="%2)"/>
      <w:lvlJc w:val="left"/>
      <w:pPr>
        <w:tabs>
          <w:tab w:val="left" w:pos="0"/>
        </w:tabs>
        <w:ind w:left="992" w:hanging="629"/>
      </w:pPr>
    </w:lvl>
    <w:lvl w:ilvl="2" w:tentative="0">
      <w:start w:val="1"/>
      <w:numFmt w:val="lowerRoman"/>
      <w:lvlText w:val="%3."/>
      <w:lvlJc w:val="right"/>
      <w:pPr>
        <w:tabs>
          <w:tab w:val="left" w:pos="0"/>
        </w:tabs>
        <w:ind w:left="992" w:hanging="629"/>
      </w:pPr>
    </w:lvl>
    <w:lvl w:ilvl="3" w:tentative="0">
      <w:start w:val="1"/>
      <w:numFmt w:val="decimal"/>
      <w:lvlText w:val="%4."/>
      <w:lvlJc w:val="left"/>
      <w:pPr>
        <w:tabs>
          <w:tab w:val="left" w:pos="0"/>
        </w:tabs>
        <w:ind w:left="992" w:hanging="629"/>
      </w:pPr>
    </w:lvl>
    <w:lvl w:ilvl="4" w:tentative="0">
      <w:start w:val="1"/>
      <w:numFmt w:val="lowerLetter"/>
      <w:lvlText w:val="%5)"/>
      <w:lvlJc w:val="left"/>
      <w:pPr>
        <w:tabs>
          <w:tab w:val="left" w:pos="0"/>
        </w:tabs>
        <w:ind w:left="992" w:hanging="629"/>
      </w:pPr>
    </w:lvl>
    <w:lvl w:ilvl="5" w:tentative="0">
      <w:start w:val="1"/>
      <w:numFmt w:val="lowerRoman"/>
      <w:lvlText w:val="%6."/>
      <w:lvlJc w:val="right"/>
      <w:pPr>
        <w:tabs>
          <w:tab w:val="left" w:pos="0"/>
        </w:tabs>
        <w:ind w:left="992" w:hanging="629"/>
      </w:pPr>
    </w:lvl>
    <w:lvl w:ilvl="6" w:tentative="0">
      <w:start w:val="1"/>
      <w:numFmt w:val="decimal"/>
      <w:lvlText w:val="%7."/>
      <w:lvlJc w:val="left"/>
      <w:pPr>
        <w:tabs>
          <w:tab w:val="left" w:pos="0"/>
        </w:tabs>
        <w:ind w:left="992" w:hanging="629"/>
      </w:pPr>
    </w:lvl>
    <w:lvl w:ilvl="7" w:tentative="0">
      <w:start w:val="1"/>
      <w:numFmt w:val="lowerLetter"/>
      <w:lvlText w:val="%8)"/>
      <w:lvlJc w:val="left"/>
      <w:pPr>
        <w:tabs>
          <w:tab w:val="left" w:pos="0"/>
        </w:tabs>
        <w:ind w:left="992" w:hanging="629"/>
      </w:pPr>
    </w:lvl>
    <w:lvl w:ilvl="8" w:tentative="0">
      <w:start w:val="1"/>
      <w:numFmt w:val="lowerRoman"/>
      <w:lvlText w:val="%9."/>
      <w:lvlJc w:val="right"/>
      <w:pPr>
        <w:tabs>
          <w:tab w:val="left" w:pos="0"/>
        </w:tabs>
        <w:ind w:left="992" w:hanging="629"/>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706DCF5"/>
    <w:multiLevelType w:val="multilevel"/>
    <w:tmpl w:val="3706DCF5"/>
    <w:lvl w:ilvl="0" w:tentative="0">
      <w:start w:val="1"/>
      <w:numFmt w:val="none"/>
      <w:pStyle w:val="42"/>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4">
    <w:nsid w:val="47A1EF9F"/>
    <w:multiLevelType w:val="multilevel"/>
    <w:tmpl w:val="47A1EF9F"/>
    <w:lvl w:ilvl="0" w:tentative="0">
      <w:start w:val="1"/>
      <w:numFmt w:val="none"/>
      <w:suff w:val="nothing"/>
      <w:lvlText w:val="%1"/>
      <w:lvlJc w:val="left"/>
      <w:pPr>
        <w:ind w:left="0" w:firstLine="0"/>
      </w:pPr>
    </w:lvl>
    <w:lvl w:ilvl="1" w:tentative="0">
      <w:start w:val="1"/>
      <w:numFmt w:val="decimal"/>
      <w:pStyle w:val="39"/>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8"/>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7"/>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66DCD931"/>
    <w:multiLevelType w:val="multilevel"/>
    <w:tmpl w:val="66DCD931"/>
    <w:lvl w:ilvl="0" w:tentative="0">
      <w:start w:val="1"/>
      <w:numFmt w:val="none"/>
      <w:pStyle w:val="36"/>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69901DF"/>
    <w:rsid w:val="170D2EB2"/>
    <w:rsid w:val="18E71105"/>
    <w:rsid w:val="19312DFE"/>
    <w:rsid w:val="1F15287C"/>
    <w:rsid w:val="255B6B18"/>
    <w:rsid w:val="2C2D1EE2"/>
    <w:rsid w:val="2D467F37"/>
    <w:rsid w:val="2DAD6C8F"/>
    <w:rsid w:val="2FB677C7"/>
    <w:rsid w:val="3AFC0F1D"/>
    <w:rsid w:val="3BDF00F2"/>
    <w:rsid w:val="40E14CE3"/>
    <w:rsid w:val="4E77301A"/>
    <w:rsid w:val="542D0422"/>
    <w:rsid w:val="57BF1D4F"/>
    <w:rsid w:val="663F4E49"/>
    <w:rsid w:val="67A80C44"/>
    <w:rsid w:val="6B9E6287"/>
    <w:rsid w:val="6E433E9B"/>
    <w:rsid w:val="6FF12124"/>
    <w:rsid w:val="706C61B1"/>
    <w:rsid w:val="70764670"/>
    <w:rsid w:val="721F5CDA"/>
    <w:rsid w:val="729E236D"/>
    <w:rsid w:val="730F0B35"/>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术语条一"/>
    <w:basedOn w:val="1"/>
    <w:next w:val="35"/>
    <w:qFormat/>
    <w:uiPriority w:val="0"/>
    <w:pPr>
      <w:keepNext w:val="0"/>
      <w:keepLines w:val="0"/>
      <w:widowControl/>
      <w:numPr>
        <w:ilvl w:val="2"/>
        <w:numId w:val="2"/>
      </w:numPr>
      <w:suppressLineNumbers w:val="0"/>
      <w:adjustRightInd/>
      <w:spacing w:before="0" w:beforeAutospacing="0" w:after="0" w:afterAutospacing="0" w:line="240" w:lineRule="auto"/>
      <w:ind w:left="1417" w:right="0" w:hanging="567"/>
      <w:jc w:val="both"/>
    </w:pPr>
    <w:rPr>
      <w:rFonts w:hint="eastAsia" w:ascii="宋体" w:hAnsi="Times New Roman" w:eastAsia="宋体" w:cs="Times New Roman"/>
      <w:kern w:val="0"/>
      <w:sz w:val="21"/>
      <w:szCs w:val="20"/>
      <w:lang w:val="en-US" w:eastAsia="zh-CN" w:bidi="ar"/>
    </w:rPr>
  </w:style>
  <w:style w:type="paragraph" w:customStyle="1" w:styleId="35">
    <w:name w:val="标准文件_段"/>
    <w:basedOn w:val="1"/>
    <w:link w:val="44"/>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注："/>
    <w:basedOn w:val="1"/>
    <w:next w:val="35"/>
    <w:qFormat/>
    <w:uiPriority w:val="0"/>
    <w:pPr>
      <w:keepNext w:val="0"/>
      <w:keepLines w:val="0"/>
      <w:widowControl w:val="0"/>
      <w:numPr>
        <w:ilvl w:val="0"/>
        <w:numId w:val="3"/>
      </w:numPr>
      <w:suppressLineNumbers w:val="0"/>
      <w:autoSpaceDE w:val="0"/>
      <w:autoSpaceDN w:val="0"/>
      <w:adjustRightInd/>
      <w:spacing w:before="0" w:beforeAutospacing="0" w:after="0" w:afterAutospacing="0" w:line="240" w:lineRule="auto"/>
      <w:ind w:left="737" w:right="0" w:hanging="374"/>
      <w:jc w:val="both"/>
    </w:pPr>
    <w:rPr>
      <w:rFonts w:hint="eastAsia" w:ascii="宋体" w:hAnsi="Times New Roman" w:eastAsia="宋体" w:cs="Times New Roman"/>
      <w:kern w:val="0"/>
      <w:sz w:val="18"/>
      <w:szCs w:val="18"/>
      <w:lang w:val="en-US" w:eastAsia="zh-CN" w:bidi="ar"/>
    </w:rPr>
  </w:style>
  <w:style w:type="paragraph" w:customStyle="1" w:styleId="37">
    <w:name w:val="标准文件_二级无标题"/>
    <w:qFormat/>
    <w:uiPriority w:val="0"/>
    <w:pPr>
      <w:keepNext w:val="0"/>
      <w:keepLines w:val="0"/>
      <w:widowControl w:val="0"/>
      <w:numPr>
        <w:ilvl w:val="3"/>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8">
    <w:name w:val="标准文件_一级条标题"/>
    <w:basedOn w:val="39"/>
    <w:next w:val="35"/>
    <w:qFormat/>
    <w:uiPriority w:val="0"/>
    <w:pPr>
      <w:keepNext w:val="0"/>
      <w:keepLines w:val="0"/>
      <w:widowControl/>
      <w:numPr>
        <w:ilvl w:val="2"/>
        <w:numId w:val="4"/>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9">
    <w:name w:val="标准文件_章标题"/>
    <w:basedOn w:val="1"/>
    <w:next w:val="35"/>
    <w:qFormat/>
    <w:uiPriority w:val="0"/>
    <w:pPr>
      <w:keepNext w:val="0"/>
      <w:keepLines w:val="0"/>
      <w:widowControl/>
      <w:numPr>
        <w:ilvl w:val="1"/>
        <w:numId w:val="4"/>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0">
    <w:name w:val="标准文件_注×："/>
    <w:basedOn w:val="1"/>
    <w:qFormat/>
    <w:uiPriority w:val="0"/>
    <w:pPr>
      <w:keepNext w:val="0"/>
      <w:keepLines w:val="0"/>
      <w:widowControl w:val="0"/>
      <w:numPr>
        <w:ilvl w:val="0"/>
        <w:numId w:val="5"/>
      </w:numPr>
      <w:suppressLineNumbers w:val="0"/>
      <w:autoSpaceDE w:val="0"/>
      <w:autoSpaceDN w:val="0"/>
      <w:adjustRightInd/>
      <w:spacing w:before="0" w:beforeAutospacing="0" w:after="0" w:afterAutospacing="0" w:line="240" w:lineRule="auto"/>
      <w:ind w:left="811" w:right="0" w:hanging="448"/>
      <w:jc w:val="both"/>
    </w:pPr>
    <w:rPr>
      <w:rFonts w:hint="eastAsia" w:ascii="宋体" w:hAnsi="Times New Roman" w:eastAsia="宋体" w:cs="Times New Roman"/>
      <w:kern w:val="0"/>
      <w:sz w:val="18"/>
      <w:szCs w:val="18"/>
      <w:lang w:val="en-US" w:eastAsia="zh-CN" w:bidi="ar"/>
    </w:rPr>
  </w:style>
  <w:style w:type="paragraph" w:customStyle="1" w:styleId="41">
    <w:name w:val="标准文件_正文表标题"/>
    <w:basedOn w:val="1"/>
    <w:next w:val="35"/>
    <w:qFormat/>
    <w:uiPriority w:val="0"/>
    <w:pPr>
      <w:keepNext w:val="0"/>
      <w:keepLines w:val="0"/>
      <w:widowControl/>
      <w:numPr>
        <w:ilvl w:val="0"/>
        <w:numId w:val="2"/>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2">
    <w:name w:val="标准文件_一级项"/>
    <w:basedOn w:val="1"/>
    <w:qFormat/>
    <w:uiPriority w:val="0"/>
    <w:pPr>
      <w:keepNext w:val="0"/>
      <w:keepLines w:val="0"/>
      <w:widowControl/>
      <w:numPr>
        <w:ilvl w:val="0"/>
        <w:numId w:val="6"/>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3">
    <w:name w:val="标准文件_表格"/>
    <w:basedOn w:val="35"/>
    <w:qFormat/>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44">
    <w:name w:val="标准文件_段 Char"/>
    <w:basedOn w:val="14"/>
    <w:link w:val="35"/>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5911</Words>
  <Characters>6002</Characters>
  <Lines>62</Lines>
  <Paragraphs>17</Paragraphs>
  <TotalTime>8</TotalTime>
  <ScaleCrop>false</ScaleCrop>
  <LinksUpToDate>false</LinksUpToDate>
  <CharactersWithSpaces>6066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2025-12-15T08:40:32Z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