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557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24A2F7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0BC37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93.010</w:t>
            </w:r>
            <w:r>
              <w:rPr>
                <w:rFonts w:ascii="黑体" w:hAnsi="黑体" w:eastAsia="黑体"/>
                <w:sz w:val="21"/>
                <w:szCs w:val="21"/>
              </w:rPr>
              <w:fldChar w:fldCharType="end"/>
            </w:r>
            <w:bookmarkEnd w:id="0"/>
          </w:p>
        </w:tc>
      </w:tr>
      <w:tr w14:paraId="338B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FF12E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B96CEE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09</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rPr>
          <w:rFonts w:hint="eastAsia" w:ascii="黑体" w:hAnsi="黑体" w:eastAsia="黑体"/>
          <w:b/>
          <w:bCs w:val="0"/>
          <w:w w:val="100"/>
          <w:sz w:val="84"/>
          <w:szCs w:val="84"/>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p>
    <w:bookmarkEnd w:id="2"/>
    <w:p w14:paraId="388E8E1F">
      <w:pPr>
        <w:pStyle w:val="195"/>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4FEF0B9F">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09DB88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BC6D0E">
      <w:pPr>
        <w:pStyle w:val="50"/>
        <w:framePr w:w="9639" w:h="6976" w:hRule="exact" w:hSpace="0" w:vSpace="0" w:wrap="around" w:hAnchor="page" w:y="6408"/>
        <w:jc w:val="center"/>
        <w:rPr>
          <w:rFonts w:hint="eastAsia" w:ascii="黑体" w:hAnsi="黑体" w:eastAsia="黑体"/>
          <w:b w:val="0"/>
          <w:bCs w:val="0"/>
          <w:w w:val="100"/>
        </w:rPr>
      </w:pPr>
    </w:p>
    <w:p w14:paraId="20B0886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r>
        <w:instrText xml:space="preserve"> FORMTEXT </w:instrText>
      </w:r>
      <w:r>
        <w:fldChar w:fldCharType="separate"/>
      </w:r>
      <w:r>
        <w:rPr>
          <w:rFonts w:hint="eastAsia"/>
        </w:rPr>
        <w:t>建设工程施工安全验收统一规范</w:t>
      </w:r>
      <w:r>
        <w:fldChar w:fldCharType="end"/>
      </w:r>
    </w:p>
    <w:p w14:paraId="2F6DBAD9">
      <w:pPr>
        <w:framePr w:w="9639" w:h="6974" w:hRule="exact" w:wrap="around" w:vAnchor="page" w:hAnchor="page" w:x="1419" w:y="6408" w:anchorLock="1"/>
        <w:ind w:left="-1418"/>
      </w:pPr>
    </w:p>
    <w:p w14:paraId="45E34302">
      <w:pPr>
        <w:pStyle w:val="125"/>
        <w:framePr w:w="9639" w:h="6974" w:hRule="exact" w:wrap="around" w:vAnchor="page" w:hAnchor="page" w:x="1419" w:y="6408" w:anchorLock="1"/>
        <w:textAlignment w:val="bottom"/>
        <w:rPr>
          <w:rFonts w:eastAsia="黑体"/>
          <w:szCs w:val="28"/>
        </w:rPr>
      </w:pPr>
    </w:p>
    <w:p w14:paraId="44DF42D0">
      <w:pPr>
        <w:pStyle w:val="125"/>
        <w:framePr w:w="9639" w:h="6974" w:hRule="exact" w:wrap="around" w:vAnchor="page" w:hAnchor="page" w:x="1419" w:y="6408" w:anchorLock="1"/>
        <w:textAlignment w:val="bottom"/>
        <w:rPr>
          <w:sz w:val="24"/>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Unified standards for safety acceptance in construction engineering</w:t>
      </w:r>
      <w:r>
        <w:rPr>
          <w:rFonts w:eastAsia="黑体"/>
          <w:szCs w:val="28"/>
        </w:rPr>
        <w:fldChar w:fldCharType="end"/>
      </w:r>
      <w:bookmarkEnd w:id="7"/>
    </w:p>
    <w:p w14:paraId="21480319">
      <w:pPr>
        <w:pStyle w:val="125"/>
        <w:framePr w:w="9639" w:h="6974" w:hRule="exact" w:wrap="around" w:vAnchor="page" w:hAnchor="page" w:x="1419" w:y="6408" w:anchorLock="1"/>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spacing w:before="180" w:line="240" w:lineRule="atLeast"/>
        <w:textAlignment w:val="bottom"/>
        <w:rPr>
          <w:sz w:val="44"/>
          <w:szCs w:val="44"/>
        </w:rPr>
      </w:pPr>
      <w:bookmarkStart w:id="51" w:name="_GoBack"/>
      <w:bookmarkEnd w:id="51"/>
      <w:r>
        <w:rPr>
          <w:rFonts w:hint="eastAsia" w:ascii="黑体" w:hAnsi="黑体" w:eastAsia="黑体" w:cs="黑体"/>
          <w:sz w:val="44"/>
          <w:szCs w:val="44"/>
          <w:lang w:val="en-US" w:eastAsia="zh-CN"/>
        </w:rPr>
        <w:t>（征求意见稿）</w:t>
      </w:r>
    </w:p>
    <w:p w14:paraId="27390B77">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52798BFA">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1BFBD50F">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BF25B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229BB6">
      <w:pPr>
        <w:pStyle w:val="91"/>
        <w:spacing w:after="360"/>
        <w:rPr>
          <w:rFonts w:hint="eastAsia"/>
        </w:rPr>
      </w:pPr>
      <w:bookmarkStart w:id="14" w:name="BookMark1"/>
      <w:r>
        <w:rPr>
          <w:rFonts w:hint="eastAsia"/>
          <w:spacing w:val="320"/>
        </w:rPr>
        <w:t>目</w:t>
      </w:r>
      <w:r>
        <w:rPr>
          <w:rFonts w:hint="eastAsia"/>
        </w:rPr>
        <w:t>次</w:t>
      </w:r>
    </w:p>
    <w:p w14:paraId="589963A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"_Toc204694050"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_Toc204694050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F916B6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_Toc204694051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D2A89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_Toc204694052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9B401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_Toc204694053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F7716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"_Toc204694054"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_Toc204694054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9C640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"_Toc204694055" </w:instrText>
      </w:r>
      <w:r>
        <w:fldChar w:fldCharType="separate"/>
      </w:r>
      <w:r>
        <w:rPr>
          <w:rStyle w:val="32"/>
          <w:rFonts w:hint="eastAsia"/>
        </w:rPr>
        <w:t>5</w:t>
      </w:r>
      <w:r>
        <w:rPr>
          <w:rStyle w:val="32"/>
        </w:rPr>
        <w:t xml:space="preserve"> </w:t>
      </w:r>
      <w:r>
        <w:rPr>
          <w:rStyle w:val="32"/>
          <w:rFonts w:hint="eastAsia"/>
        </w:rPr>
        <w:t xml:space="preserve"> 准备验收</w:t>
      </w:r>
      <w:r>
        <w:rPr>
          <w:rFonts w:hint="eastAsia"/>
        </w:rPr>
        <w:tab/>
      </w:r>
      <w:r>
        <w:rPr>
          <w:rFonts w:hint="eastAsia"/>
        </w:rPr>
        <w:fldChar w:fldCharType="begin"/>
      </w:r>
      <w:r>
        <w:rPr>
          <w:rFonts w:hint="eastAsia"/>
        </w:rPr>
        <w:instrText xml:space="preserve"> </w:instrText>
      </w:r>
      <w:r>
        <w:instrText xml:space="preserve">PAGEREF _Toc204694055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59AD9B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"_Toc204694056" </w:instrText>
      </w:r>
      <w:r>
        <w:fldChar w:fldCharType="separate"/>
      </w:r>
      <w:r>
        <w:rPr>
          <w:rStyle w:val="32"/>
          <w:rFonts w:hint="eastAsia"/>
        </w:rPr>
        <w:t>6</w:t>
      </w:r>
      <w:r>
        <w:rPr>
          <w:rStyle w:val="32"/>
        </w:rPr>
        <w:t xml:space="preserve"> </w:t>
      </w:r>
      <w:r>
        <w:rPr>
          <w:rStyle w:val="32"/>
          <w:rFonts w:hint="eastAsia"/>
        </w:rPr>
        <w:t xml:space="preserve"> 现场验收</w:t>
      </w:r>
      <w:r>
        <w:rPr>
          <w:rFonts w:hint="eastAsia"/>
        </w:rPr>
        <w:tab/>
      </w:r>
      <w:r>
        <w:rPr>
          <w:rFonts w:hint="eastAsia"/>
        </w:rPr>
        <w:fldChar w:fldCharType="begin"/>
      </w:r>
      <w:r>
        <w:rPr>
          <w:rFonts w:hint="eastAsia"/>
        </w:rPr>
        <w:instrText xml:space="preserve"> </w:instrText>
      </w:r>
      <w:r>
        <w:instrText xml:space="preserve">PAGEREF _Toc204694056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A044B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"_Toc204694057" </w:instrText>
      </w:r>
      <w:r>
        <w:fldChar w:fldCharType="separate"/>
      </w:r>
      <w:r>
        <w:rPr>
          <w:rStyle w:val="32"/>
          <w:rFonts w:hint="eastAsia"/>
        </w:rPr>
        <w:t>7</w:t>
      </w:r>
      <w:r>
        <w:rPr>
          <w:rStyle w:val="32"/>
        </w:rPr>
        <w:t xml:space="preserve"> </w:t>
      </w:r>
      <w:r>
        <w:rPr>
          <w:rStyle w:val="32"/>
          <w:rFonts w:hint="eastAsia"/>
        </w:rPr>
        <w:t xml:space="preserve"> 设施验收</w:t>
      </w:r>
      <w:r>
        <w:rPr>
          <w:rFonts w:hint="eastAsia"/>
        </w:rPr>
        <w:tab/>
      </w:r>
      <w:r>
        <w:rPr>
          <w:rFonts w:hint="eastAsia"/>
        </w:rPr>
        <w:fldChar w:fldCharType="begin"/>
      </w:r>
      <w:r>
        <w:rPr>
          <w:rFonts w:hint="eastAsia"/>
        </w:rPr>
        <w:instrText xml:space="preserve"> </w:instrText>
      </w:r>
      <w:r>
        <w:instrText xml:space="preserve">PAGEREF _Toc204694057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F78C92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"_Toc204694058" </w:instrText>
      </w:r>
      <w:r>
        <w:fldChar w:fldCharType="separate"/>
      </w:r>
      <w:r>
        <w:rPr>
          <w:rStyle w:val="32"/>
          <w:rFonts w:hint="eastAsia"/>
        </w:rPr>
        <w:t>8</w:t>
      </w:r>
      <w:r>
        <w:rPr>
          <w:rStyle w:val="32"/>
        </w:rPr>
        <w:t xml:space="preserve"> </w:t>
      </w:r>
      <w:r>
        <w:rPr>
          <w:rStyle w:val="32"/>
          <w:rFonts w:hint="eastAsia"/>
        </w:rPr>
        <w:t xml:space="preserve"> 用电验收</w:t>
      </w:r>
      <w:r>
        <w:rPr>
          <w:rFonts w:hint="eastAsia"/>
        </w:rPr>
        <w:tab/>
      </w:r>
      <w:r>
        <w:rPr>
          <w:rFonts w:hint="eastAsia"/>
        </w:rPr>
        <w:fldChar w:fldCharType="begin"/>
      </w:r>
      <w:r>
        <w:rPr>
          <w:rFonts w:hint="eastAsia"/>
        </w:rPr>
        <w:instrText xml:space="preserve"> </w:instrText>
      </w:r>
      <w:r>
        <w:instrText xml:space="preserve">PAGEREF _Toc204694058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7CA424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"_Toc204694059" </w:instrText>
      </w:r>
      <w:r>
        <w:fldChar w:fldCharType="separate"/>
      </w:r>
      <w:r>
        <w:rPr>
          <w:rStyle w:val="32"/>
          <w:rFonts w:hint="eastAsia"/>
        </w:rPr>
        <w:t>9</w:t>
      </w:r>
      <w:r>
        <w:rPr>
          <w:rStyle w:val="32"/>
        </w:rPr>
        <w:t xml:space="preserve"> </w:t>
      </w:r>
      <w:r>
        <w:rPr>
          <w:rStyle w:val="32"/>
          <w:rFonts w:hint="eastAsia"/>
        </w:rPr>
        <w:t xml:space="preserve"> 资料归档</w:t>
      </w:r>
      <w:r>
        <w:rPr>
          <w:rFonts w:hint="eastAsia"/>
        </w:rPr>
        <w:tab/>
      </w:r>
      <w:r>
        <w:rPr>
          <w:rFonts w:hint="eastAsia"/>
        </w:rPr>
        <w:fldChar w:fldCharType="begin"/>
      </w:r>
      <w:r>
        <w:rPr>
          <w:rFonts w:hint="eastAsia"/>
        </w:rPr>
        <w:instrText xml:space="preserve"> </w:instrText>
      </w:r>
      <w:r>
        <w:instrText xml:space="preserve">PAGEREF _Toc204694059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90C8A8D">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4620AE57">
      <w:pPr>
        <w:pStyle w:val="89"/>
        <w:spacing w:before="900" w:after="360"/>
        <w:rPr>
          <w:rFonts w:hint="eastAsia"/>
        </w:rPr>
      </w:pPr>
      <w:bookmarkStart w:id="15" w:name="_Toc204694050"/>
      <w:bookmarkStart w:id="16" w:name="BookMark2"/>
      <w:r>
        <w:rPr>
          <w:rFonts w:hint="eastAsia"/>
          <w:spacing w:val="320"/>
        </w:rPr>
        <w:t>前</w:t>
      </w:r>
      <w:r>
        <w:rPr>
          <w:rFonts w:hint="eastAsia"/>
        </w:rPr>
        <w:t>言</w:t>
      </w:r>
      <w:bookmarkEnd w:id="15"/>
    </w:p>
    <w:p w14:paraId="2AB0874C">
      <w:pPr>
        <w:pStyle w:val="56"/>
        <w:ind w:firstLine="420"/>
        <w:rPr>
          <w:rFonts w:hint="eastAsia"/>
        </w:rPr>
      </w:pPr>
      <w:r>
        <w:rPr>
          <w:rFonts w:hint="eastAsia"/>
        </w:rPr>
        <w:t>本文件按照GB/T 1.1—2020《标准化工作导则  第1部分：标准化文件的结构和起草规则》的规定起草。</w:t>
      </w:r>
    </w:p>
    <w:p w14:paraId="19C6FD6A">
      <w:pPr>
        <w:pStyle w:val="56"/>
        <w:ind w:firstLine="420"/>
      </w:pPr>
      <w:r>
        <w:rPr>
          <w:rFonts w:hint="eastAsia"/>
        </w:rPr>
        <w:t>请注意本文件的某些内容可能涉及专利。本文件的发布机构不承担识别专利的责任。</w:t>
      </w:r>
    </w:p>
    <w:p w14:paraId="10D5DF0A">
      <w:pPr>
        <w:pStyle w:val="56"/>
        <w:ind w:firstLine="420"/>
        <w:rPr>
          <w:rFonts w:hint="eastAsia"/>
        </w:rPr>
      </w:pPr>
      <w:r>
        <w:rPr>
          <w:rFonts w:hint="eastAsia"/>
        </w:rPr>
        <w:t>本文件由周口易初建筑工程有限公司提出。</w:t>
      </w:r>
    </w:p>
    <w:p w14:paraId="07C27FB7">
      <w:pPr>
        <w:pStyle w:val="56"/>
        <w:ind w:firstLine="420"/>
        <w:rPr>
          <w:rFonts w:hint="eastAsia"/>
        </w:rPr>
      </w:pPr>
      <w:r>
        <w:rPr>
          <w:rFonts w:hint="eastAsia"/>
        </w:rPr>
        <w:t>本文件由中国西部开发促进会归口。</w:t>
      </w:r>
    </w:p>
    <w:p w14:paraId="5BAF9B81">
      <w:pPr>
        <w:pStyle w:val="56"/>
        <w:ind w:firstLine="420"/>
        <w:rPr>
          <w:rFonts w:hint="eastAsia" w:eastAsia="宋体"/>
          <w:lang w:eastAsia="zh-CN"/>
        </w:rPr>
      </w:pPr>
      <w:r>
        <w:rPr>
          <w:rFonts w:hint="eastAsia"/>
        </w:rPr>
        <w:t>本文件起草单位：周口易初建筑工程有限公司</w:t>
      </w:r>
      <w:r>
        <w:rPr>
          <w:rFonts w:hint="eastAsia"/>
          <w:lang w:eastAsia="zh-CN"/>
        </w:rPr>
        <w:t>。</w:t>
      </w:r>
    </w:p>
    <w:p w14:paraId="591E3F52">
      <w:pPr>
        <w:pStyle w:val="56"/>
        <w:ind w:firstLine="420"/>
        <w:rPr>
          <w:rFonts w:hint="eastAsia" w:eastAsia="宋体"/>
          <w:lang w:eastAsia="zh-CN"/>
        </w:rPr>
      </w:pPr>
      <w:r>
        <w:rPr>
          <w:rFonts w:hint="eastAsia"/>
        </w:rPr>
        <w:t>本文件主要起草人：</w:t>
      </w:r>
    </w:p>
    <w:p w14:paraId="4B1716BB">
      <w:pPr>
        <w:pStyle w:val="56"/>
        <w:ind w:firstLine="420"/>
        <w:rPr>
          <w:rFonts w:hint="eastAsia"/>
        </w:rPr>
      </w:pPr>
    </w:p>
    <w:p w14:paraId="3B5D48DC">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16"/>
    <w:p w14:paraId="1E15E081">
      <w:pPr>
        <w:spacing w:line="20" w:lineRule="exact"/>
        <w:jc w:val="center"/>
        <w:rPr>
          <w:rFonts w:hint="eastAsia" w:ascii="黑体" w:hAnsi="黑体" w:eastAsia="黑体"/>
          <w:sz w:val="32"/>
          <w:szCs w:val="32"/>
        </w:rPr>
      </w:pPr>
      <w:bookmarkStart w:id="17" w:name="BookMark4"/>
    </w:p>
    <w:p w14:paraId="4852693D">
      <w:pPr>
        <w:spacing w:line="20" w:lineRule="exact"/>
        <w:jc w:val="center"/>
        <w:rPr>
          <w:rFonts w:hint="eastAsia" w:ascii="黑体" w:hAnsi="黑体" w:eastAsia="黑体"/>
          <w:sz w:val="32"/>
          <w:szCs w:val="32"/>
        </w:rPr>
      </w:pPr>
    </w:p>
    <w:sdt>
      <w:sdtPr>
        <w:tag w:val="NEW_STAND_NAME"/>
        <w:id w:val="595910757"/>
        <w:lock w:val="sdtLocked"/>
        <w:placeholder>
          <w:docPart w:val="2CBA679A27324D7F8D77F709BD6B3115"/>
        </w:placeholder>
      </w:sdtPr>
      <w:sdtContent>
        <w:p w14:paraId="1C9C21BA">
          <w:pPr>
            <w:pStyle w:val="177"/>
            <w:spacing w:before="2" w:beforeLines="1" w:after="528" w:afterLines="220"/>
            <w:rPr>
              <w:rFonts w:hint="eastAsia"/>
            </w:rPr>
          </w:pPr>
          <w:bookmarkStart w:id="18" w:name="_Hlk204694138"/>
          <w:bookmarkStart w:id="19" w:name="NEW_STAND_NAME"/>
          <w:r>
            <w:rPr>
              <w:rFonts w:hint="eastAsia"/>
            </w:rPr>
            <w:t>建设工程施工安全验收统一规范</w:t>
          </w:r>
        </w:p>
      </w:sdtContent>
    </w:sdt>
    <w:bookmarkEnd w:id="18"/>
    <w:bookmarkEnd w:id="19"/>
    <w:p w14:paraId="2CC6AADF">
      <w:pPr>
        <w:pStyle w:val="104"/>
        <w:spacing w:before="240" w:after="240"/>
      </w:pPr>
      <w:bookmarkStart w:id="20" w:name="_Toc26986530"/>
      <w:bookmarkStart w:id="21" w:name="_Toc204694051"/>
      <w:bookmarkStart w:id="22" w:name="_Toc24884218"/>
      <w:bookmarkStart w:id="23" w:name="_Toc24884211"/>
      <w:bookmarkStart w:id="24" w:name="_Toc17233333"/>
      <w:bookmarkStart w:id="25" w:name="_Toc26718930"/>
      <w:bookmarkStart w:id="26" w:name="_Toc17233325"/>
      <w:bookmarkStart w:id="27" w:name="_Toc97192964"/>
      <w:bookmarkStart w:id="28" w:name="_Toc26986771"/>
      <w:bookmarkStart w:id="29" w:name="_Toc26648465"/>
      <w:bookmarkStart w:id="30" w:name="_Hlk204694258"/>
      <w:r>
        <w:rPr>
          <w:rFonts w:hint="eastAsia"/>
        </w:rPr>
        <w:t>范围</w:t>
      </w:r>
      <w:bookmarkEnd w:id="20"/>
      <w:bookmarkEnd w:id="21"/>
      <w:bookmarkEnd w:id="22"/>
      <w:bookmarkEnd w:id="23"/>
      <w:bookmarkEnd w:id="24"/>
      <w:bookmarkEnd w:id="25"/>
      <w:bookmarkEnd w:id="26"/>
      <w:bookmarkEnd w:id="27"/>
      <w:bookmarkEnd w:id="28"/>
      <w:bookmarkEnd w:id="29"/>
    </w:p>
    <w:p w14:paraId="59A312FC">
      <w:pPr>
        <w:pStyle w:val="56"/>
        <w:ind w:firstLine="420"/>
      </w:pPr>
      <w:bookmarkStart w:id="31" w:name="_Toc24884212"/>
      <w:bookmarkStart w:id="32" w:name="_Toc26648466"/>
      <w:bookmarkStart w:id="33" w:name="_Toc17233334"/>
      <w:bookmarkStart w:id="34" w:name="_Toc17233326"/>
      <w:bookmarkStart w:id="35" w:name="_Toc24884219"/>
      <w:r>
        <w:rPr>
          <w:rFonts w:hint="eastAsia"/>
        </w:rPr>
        <w:t>本文件规定了建设工程施工安全验收统一的术语和定义、基本规定、准备验收、现场验收、设施验收、用电验收、资料归档。</w:t>
      </w:r>
    </w:p>
    <w:p w14:paraId="5C95FFBB">
      <w:pPr>
        <w:pStyle w:val="56"/>
        <w:ind w:firstLine="420"/>
      </w:pPr>
      <w:r>
        <w:rPr>
          <w:rFonts w:hint="eastAsia"/>
        </w:rPr>
        <w:t>本文件适用于建设工程施工安全验收统一。</w:t>
      </w:r>
    </w:p>
    <w:p w14:paraId="01809728">
      <w:pPr>
        <w:pStyle w:val="104"/>
        <w:spacing w:before="240" w:after="240"/>
      </w:pPr>
      <w:bookmarkStart w:id="36" w:name="_Toc204694052"/>
      <w:bookmarkStart w:id="37" w:name="_Toc26718931"/>
      <w:bookmarkStart w:id="38" w:name="_Toc97192965"/>
      <w:bookmarkStart w:id="39" w:name="_Toc26986531"/>
      <w:bookmarkStart w:id="40" w:name="_Toc26986772"/>
      <w:r>
        <w:rPr>
          <w:rFonts w:hint="eastAsia"/>
        </w:rPr>
        <w:t>规范性引用文件</w:t>
      </w:r>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30A00ABB160A49B5A4051EC8D61EE6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D33946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D1EA98">
      <w:pPr>
        <w:pStyle w:val="56"/>
        <w:ind w:firstLine="420"/>
        <w:rPr>
          <w:rFonts w:hint="eastAsia"/>
        </w:rPr>
      </w:pPr>
      <w:r>
        <w:t>CJJ/T 117</w:t>
      </w:r>
      <w:r>
        <w:rPr>
          <w:rFonts w:hint="eastAsia"/>
        </w:rPr>
        <w:t xml:space="preserve"> 建设电子文件与电子档案管理规范</w:t>
      </w:r>
    </w:p>
    <w:p w14:paraId="5621BC15">
      <w:pPr>
        <w:pStyle w:val="104"/>
        <w:spacing w:before="240" w:after="240"/>
      </w:pPr>
      <w:bookmarkStart w:id="41" w:name="_Toc97192966"/>
      <w:bookmarkStart w:id="42" w:name="_Toc204694053"/>
      <w:r>
        <w:rPr>
          <w:rFonts w:hint="eastAsia"/>
          <w:szCs w:val="21"/>
        </w:rPr>
        <w:t>术语和定义</w:t>
      </w:r>
      <w:bookmarkEnd w:id="41"/>
      <w:bookmarkEnd w:id="42"/>
    </w:p>
    <w:sdt>
      <w:sdtPr>
        <w:id w:val="-1909835108"/>
        <w:placeholder>
          <w:docPart w:val="337CFF78DC904CC083E15F12143E20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7395D00">
          <w:pPr>
            <w:pStyle w:val="56"/>
            <w:ind w:firstLine="420"/>
          </w:pPr>
          <w:bookmarkStart w:id="43" w:name="_Toc26986532"/>
          <w:bookmarkEnd w:id="43"/>
          <w:r>
            <w:t>下列术语和定义适用于本文件。</w:t>
          </w:r>
        </w:p>
      </w:sdtContent>
    </w:sdt>
    <w:p w14:paraId="6A32D5B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关键设施 k</w:t>
      </w:r>
      <w:r>
        <w:rPr>
          <w:rFonts w:ascii="黑体" w:hAnsi="黑体" w:eastAsia="黑体"/>
        </w:rPr>
        <w:t xml:space="preserve">ey </w:t>
      </w:r>
      <w:r>
        <w:rPr>
          <w:rFonts w:hint="eastAsia" w:ascii="黑体" w:hAnsi="黑体" w:eastAsia="黑体"/>
        </w:rPr>
        <w:t>f</w:t>
      </w:r>
      <w:r>
        <w:rPr>
          <w:rFonts w:ascii="黑体" w:hAnsi="黑体" w:eastAsia="黑体"/>
        </w:rPr>
        <w:t>acilities</w:t>
      </w:r>
    </w:p>
    <w:p w14:paraId="1EB1AE01">
      <w:pPr>
        <w:pStyle w:val="56"/>
        <w:ind w:firstLine="420"/>
      </w:pPr>
      <w:r>
        <w:rPr>
          <w:rFonts w:hint="eastAsia"/>
        </w:rPr>
        <w:t>对施工安全有重大影响的临时性结构或设备，包括但不限于脚手架工程、模板支撑体系、施工起重机械、深基坑支护结构、临时用电配电系统等。</w:t>
      </w:r>
    </w:p>
    <w:p w14:paraId="12067530">
      <w:pPr>
        <w:pStyle w:val="104"/>
        <w:spacing w:before="240" w:after="240"/>
        <w:rPr>
          <w:rFonts w:hint="eastAsia"/>
        </w:rPr>
      </w:pPr>
      <w:bookmarkStart w:id="44" w:name="_Toc204694054"/>
      <w:r>
        <w:rPr>
          <w:rFonts w:hint="eastAsia"/>
        </w:rPr>
        <w:t>基本规定</w:t>
      </w:r>
      <w:bookmarkEnd w:id="44"/>
    </w:p>
    <w:p w14:paraId="1CCA6624">
      <w:pPr>
        <w:pStyle w:val="105"/>
        <w:spacing w:before="120" w:after="120"/>
        <w:rPr>
          <w:rFonts w:hint="eastAsia"/>
        </w:rPr>
      </w:pPr>
      <w:r>
        <w:rPr>
          <w:rFonts w:hint="eastAsia"/>
        </w:rPr>
        <w:t>责任主体</w:t>
      </w:r>
    </w:p>
    <w:p w14:paraId="1BBD334B">
      <w:pPr>
        <w:pStyle w:val="165"/>
        <w:rPr>
          <w:rFonts w:hint="eastAsia"/>
        </w:rPr>
      </w:pPr>
      <w:r>
        <w:rPr>
          <w:rFonts w:hint="eastAsia"/>
        </w:rPr>
        <w:t>建设单位应对建设工程施工安全验收负总责，应组织施工、监理、设计等单位按本文件实施验收。</w:t>
      </w:r>
    </w:p>
    <w:p w14:paraId="44659146">
      <w:pPr>
        <w:pStyle w:val="165"/>
        <w:rPr>
          <w:rFonts w:hint="eastAsia"/>
        </w:rPr>
      </w:pPr>
      <w:r>
        <w:rPr>
          <w:rFonts w:hint="eastAsia"/>
        </w:rPr>
        <w:t>施工单位应履行施工安全主体责任，应确保现场安全条件符合验收要求，配合验收并落实整改。</w:t>
      </w:r>
    </w:p>
    <w:p w14:paraId="0782F9C8">
      <w:pPr>
        <w:pStyle w:val="165"/>
        <w:rPr>
          <w:rFonts w:hint="eastAsia"/>
        </w:rPr>
      </w:pPr>
      <w:r>
        <w:rPr>
          <w:rFonts w:hint="eastAsia"/>
        </w:rPr>
        <w:t>监理单位应履行安全监理职责，应对安全验收过程实施监督，并核查整改闭环情况。</w:t>
      </w:r>
    </w:p>
    <w:p w14:paraId="46B52ED8">
      <w:pPr>
        <w:pStyle w:val="165"/>
        <w:rPr>
          <w:rFonts w:hint="eastAsia"/>
        </w:rPr>
      </w:pPr>
      <w:r>
        <w:rPr>
          <w:rFonts w:hint="eastAsia"/>
        </w:rPr>
        <w:t>设计单位应参与涉及结构安全、重大危险源的专项验收，应提供技术支撑。</w:t>
      </w:r>
    </w:p>
    <w:p w14:paraId="4A355C8F">
      <w:pPr>
        <w:pStyle w:val="105"/>
        <w:spacing w:before="120" w:after="120"/>
        <w:rPr>
          <w:rFonts w:hint="eastAsia"/>
        </w:rPr>
      </w:pPr>
      <w:r>
        <w:rPr>
          <w:rFonts w:hint="eastAsia"/>
        </w:rPr>
        <w:t>验收前提条件</w:t>
      </w:r>
    </w:p>
    <w:p w14:paraId="7C2CC65E">
      <w:pPr>
        <w:pStyle w:val="165"/>
        <w:rPr>
          <w:rFonts w:hint="eastAsia"/>
        </w:rPr>
      </w:pPr>
      <w:r>
        <w:rPr>
          <w:rFonts w:hint="eastAsia"/>
        </w:rPr>
        <w:t>施工单位应完成自检自验，确认安全措施落实到位，并形成书面自评报告。</w:t>
      </w:r>
    </w:p>
    <w:p w14:paraId="5CC2FDFB">
      <w:pPr>
        <w:pStyle w:val="165"/>
        <w:rPr>
          <w:rFonts w:hint="eastAsia"/>
        </w:rPr>
      </w:pPr>
      <w:r>
        <w:rPr>
          <w:rFonts w:hint="eastAsia"/>
        </w:rPr>
        <w:t>监理单位应完成预验收，签署预验收意见，明确遗留问题清单。</w:t>
      </w:r>
    </w:p>
    <w:p w14:paraId="3F966D83">
      <w:pPr>
        <w:pStyle w:val="165"/>
        <w:rPr>
          <w:rFonts w:hint="eastAsia"/>
        </w:rPr>
      </w:pPr>
      <w:r>
        <w:rPr>
          <w:rFonts w:hint="eastAsia"/>
        </w:rPr>
        <w:t>施工现场应具备以下基础条件：</w:t>
      </w:r>
    </w:p>
    <w:p w14:paraId="08F40094">
      <w:pPr>
        <w:pStyle w:val="132"/>
      </w:pPr>
      <w:r>
        <w:rPr>
          <w:rFonts w:hint="eastAsia"/>
        </w:rPr>
        <w:t>安全防护设施应安装完毕且功能有效；</w:t>
      </w:r>
    </w:p>
    <w:p w14:paraId="13C6D3E8">
      <w:pPr>
        <w:pStyle w:val="132"/>
      </w:pPr>
      <w:r>
        <w:rPr>
          <w:rFonts w:hint="eastAsia"/>
        </w:rPr>
        <w:t>重大危险源控制措施应经专项验证；</w:t>
      </w:r>
    </w:p>
    <w:p w14:paraId="4DBC3037">
      <w:pPr>
        <w:pStyle w:val="132"/>
      </w:pPr>
      <w:r>
        <w:rPr>
          <w:rFonts w:hint="eastAsia"/>
        </w:rPr>
        <w:t>临时用电系统应完成调试检测；</w:t>
      </w:r>
    </w:p>
    <w:p w14:paraId="47928C04">
      <w:pPr>
        <w:pStyle w:val="132"/>
      </w:pPr>
      <w:r>
        <w:rPr>
          <w:rFonts w:hint="eastAsia"/>
        </w:rPr>
        <w:t>消防通道及应急设施应处于可用状态。</w:t>
      </w:r>
    </w:p>
    <w:p w14:paraId="5C124DB8">
      <w:pPr>
        <w:pStyle w:val="165"/>
        <w:rPr>
          <w:rFonts w:hint="eastAsia"/>
        </w:rPr>
      </w:pPr>
      <w:r>
        <w:rPr>
          <w:rFonts w:hint="eastAsia"/>
        </w:rPr>
        <w:t>安全技术资料应完整归档，包含专项方案审批记录、检测报告、人员资格证明等。</w:t>
      </w:r>
    </w:p>
    <w:p w14:paraId="38ED7E0F">
      <w:pPr>
        <w:pStyle w:val="105"/>
        <w:spacing w:before="120" w:after="120"/>
        <w:rPr>
          <w:rFonts w:hint="eastAsia"/>
        </w:rPr>
      </w:pPr>
      <w:r>
        <w:rPr>
          <w:rFonts w:hint="eastAsia"/>
        </w:rPr>
        <w:t>验收流程要求</w:t>
      </w:r>
    </w:p>
    <w:p w14:paraId="0A09CBCF">
      <w:pPr>
        <w:pStyle w:val="165"/>
        <w:rPr>
          <w:rFonts w:hint="eastAsia"/>
        </w:rPr>
      </w:pPr>
      <w:r>
        <w:rPr>
          <w:rFonts w:hint="eastAsia"/>
        </w:rPr>
        <w:t>安全验收宜分阶段实施，可包括基础施工、主体结构、装饰装修、竣工预验收等节点。</w:t>
      </w:r>
    </w:p>
    <w:p w14:paraId="34DC8D2E">
      <w:pPr>
        <w:pStyle w:val="165"/>
        <w:rPr>
          <w:rFonts w:hint="eastAsia"/>
        </w:rPr>
      </w:pPr>
      <w:r>
        <w:rPr>
          <w:rFonts w:hint="eastAsia"/>
        </w:rPr>
        <w:t>验收组应依据施工进度动态调整验收计划，确保危险作业前完成关联验收。</w:t>
      </w:r>
    </w:p>
    <w:p w14:paraId="0C20F468">
      <w:pPr>
        <w:pStyle w:val="165"/>
        <w:rPr>
          <w:rFonts w:hint="eastAsia"/>
        </w:rPr>
      </w:pPr>
      <w:r>
        <w:rPr>
          <w:rFonts w:hint="eastAsia"/>
        </w:rPr>
        <w:t>现场验收应采用实测实量、功能测试、资料核查相结合方式，覆盖所有关键控制项。</w:t>
      </w:r>
    </w:p>
    <w:p w14:paraId="674CF353">
      <w:pPr>
        <w:pStyle w:val="165"/>
        <w:rPr>
          <w:rFonts w:hint="eastAsia"/>
        </w:rPr>
      </w:pPr>
      <w:r>
        <w:rPr>
          <w:rFonts w:hint="eastAsia"/>
        </w:rPr>
        <w:t>发现不符合项时应签发整改通知单，限时整改并复查验证，未闭环前不应通过验收。</w:t>
      </w:r>
    </w:p>
    <w:p w14:paraId="6EEA10D6">
      <w:pPr>
        <w:pStyle w:val="105"/>
        <w:spacing w:before="120" w:after="120"/>
        <w:rPr>
          <w:rFonts w:hint="eastAsia"/>
        </w:rPr>
      </w:pPr>
      <w:r>
        <w:rPr>
          <w:rFonts w:hint="eastAsia"/>
        </w:rPr>
        <w:t>人员资质要求</w:t>
      </w:r>
    </w:p>
    <w:p w14:paraId="2494CE51">
      <w:pPr>
        <w:pStyle w:val="165"/>
        <w:rPr>
          <w:rFonts w:hint="eastAsia"/>
        </w:rPr>
      </w:pPr>
      <w:r>
        <w:rPr>
          <w:rFonts w:hint="eastAsia"/>
        </w:rPr>
        <w:t>验收组成员应具备工程安全管理经验，组长应由建设单位项目负责人或总监理工程师担任。</w:t>
      </w:r>
    </w:p>
    <w:p w14:paraId="7BBBB48A">
      <w:pPr>
        <w:pStyle w:val="165"/>
        <w:rPr>
          <w:rFonts w:hint="eastAsia"/>
        </w:rPr>
      </w:pPr>
      <w:r>
        <w:rPr>
          <w:rFonts w:hint="eastAsia"/>
        </w:rPr>
        <w:t>特种设备、临时用电等专项验收应有专业技术人员参与，可委托第三方检测机构实施。</w:t>
      </w:r>
    </w:p>
    <w:p w14:paraId="6B0A1E65">
      <w:pPr>
        <w:pStyle w:val="165"/>
        <w:rPr>
          <w:rFonts w:hint="eastAsia"/>
        </w:rPr>
      </w:pPr>
      <w:r>
        <w:rPr>
          <w:rFonts w:hint="eastAsia"/>
        </w:rPr>
        <w:t>验收人员应接受安全标准培训，并熟悉本文件及国家相关强制性条文。</w:t>
      </w:r>
    </w:p>
    <w:p w14:paraId="06B908DF">
      <w:pPr>
        <w:pStyle w:val="105"/>
        <w:spacing w:before="120" w:after="120"/>
        <w:rPr>
          <w:rFonts w:hint="eastAsia"/>
        </w:rPr>
      </w:pPr>
      <w:r>
        <w:rPr>
          <w:rFonts w:hint="eastAsia"/>
        </w:rPr>
        <w:t>验收结果评定</w:t>
      </w:r>
    </w:p>
    <w:p w14:paraId="039617E0">
      <w:pPr>
        <w:pStyle w:val="165"/>
        <w:rPr>
          <w:rFonts w:hint="eastAsia"/>
        </w:rPr>
      </w:pPr>
      <w:r>
        <w:rPr>
          <w:rFonts w:hint="eastAsia"/>
        </w:rPr>
        <w:t>验收结论应分为“通过”“有条件通过”“不通过”三类，以书面形式签字确认。</w:t>
      </w:r>
    </w:p>
    <w:p w14:paraId="301E9D14">
      <w:pPr>
        <w:pStyle w:val="165"/>
        <w:rPr>
          <w:rFonts w:hint="eastAsia"/>
        </w:rPr>
      </w:pPr>
      <w:r>
        <w:rPr>
          <w:rFonts w:hint="eastAsia"/>
        </w:rPr>
        <w:t>满足全部强制性条款可评定为“通过”；非关键项缺陷不影响整体安全的可评定为“有条件通过”，应限期整改。</w:t>
      </w:r>
    </w:p>
    <w:p w14:paraId="217CE4A8">
      <w:pPr>
        <w:pStyle w:val="165"/>
        <w:rPr>
          <w:rFonts w:hint="eastAsia"/>
        </w:rPr>
      </w:pPr>
      <w:r>
        <w:rPr>
          <w:rFonts w:hint="eastAsia"/>
        </w:rPr>
        <w:t>存在下列情况之一应评定为“不通过”：</w:t>
      </w:r>
    </w:p>
    <w:p w14:paraId="4F5CB315">
      <w:pPr>
        <w:pStyle w:val="132"/>
      </w:pPr>
      <w:r>
        <w:rPr>
          <w:rFonts w:hint="eastAsia"/>
        </w:rPr>
        <w:t>违反国家强制性安全标准；</w:t>
      </w:r>
    </w:p>
    <w:p w14:paraId="324F135B">
      <w:pPr>
        <w:pStyle w:val="132"/>
      </w:pPr>
      <w:r>
        <w:rPr>
          <w:rFonts w:hint="eastAsia"/>
        </w:rPr>
        <w:t>重大危险源控制失效；</w:t>
      </w:r>
    </w:p>
    <w:p w14:paraId="1EA66506">
      <w:pPr>
        <w:pStyle w:val="132"/>
      </w:pPr>
      <w:r>
        <w:rPr>
          <w:rFonts w:hint="eastAsia"/>
        </w:rPr>
        <w:t>整改未达到复验标准。</w:t>
      </w:r>
    </w:p>
    <w:p w14:paraId="3AF3FED2">
      <w:pPr>
        <w:pStyle w:val="105"/>
        <w:spacing w:before="120" w:after="120"/>
        <w:rPr>
          <w:rFonts w:hint="eastAsia"/>
        </w:rPr>
      </w:pPr>
      <w:r>
        <w:rPr>
          <w:rFonts w:hint="eastAsia"/>
        </w:rPr>
        <w:t>验收后管理</w:t>
      </w:r>
    </w:p>
    <w:p w14:paraId="3D839222">
      <w:pPr>
        <w:pStyle w:val="165"/>
        <w:rPr>
          <w:rFonts w:hint="eastAsia"/>
        </w:rPr>
      </w:pPr>
      <w:r>
        <w:rPr>
          <w:rFonts w:hint="eastAsia"/>
        </w:rPr>
        <w:t>通过验收的工程，施工单位应保持安全措施持续有效，定期巡查维护。</w:t>
      </w:r>
    </w:p>
    <w:p w14:paraId="7B8A0601">
      <w:pPr>
        <w:pStyle w:val="165"/>
        <w:rPr>
          <w:rFonts w:hint="eastAsia"/>
        </w:rPr>
      </w:pPr>
      <w:r>
        <w:rPr>
          <w:rFonts w:hint="eastAsia"/>
        </w:rPr>
        <w:t>有条件通过的工程，监理单位应监督整改闭环，在48 h内组织复验。</w:t>
      </w:r>
    </w:p>
    <w:p w14:paraId="79154487">
      <w:pPr>
        <w:pStyle w:val="165"/>
        <w:rPr>
          <w:rFonts w:hint="eastAsia"/>
        </w:rPr>
      </w:pPr>
      <w:r>
        <w:rPr>
          <w:rFonts w:hint="eastAsia"/>
        </w:rPr>
        <w:t>验收资料应纳入工程竣工档案，保存期限符合CJJ/T 117的有关规定。</w:t>
      </w:r>
    </w:p>
    <w:p w14:paraId="65585B10">
      <w:pPr>
        <w:pStyle w:val="105"/>
        <w:spacing w:before="120" w:after="120"/>
        <w:rPr>
          <w:rFonts w:hint="eastAsia"/>
        </w:rPr>
      </w:pPr>
      <w:r>
        <w:rPr>
          <w:rFonts w:hint="eastAsia"/>
        </w:rPr>
        <w:t>其他要求</w:t>
      </w:r>
    </w:p>
    <w:p w14:paraId="09AA68CE">
      <w:pPr>
        <w:pStyle w:val="165"/>
        <w:rPr>
          <w:rFonts w:hint="eastAsia"/>
        </w:rPr>
      </w:pPr>
      <w:r>
        <w:rPr>
          <w:rFonts w:hint="eastAsia"/>
        </w:rPr>
        <w:t>涉及新技术、新工艺的工程，验收时可组织专家论证，补充专项验收条款。</w:t>
      </w:r>
    </w:p>
    <w:p w14:paraId="69836134">
      <w:pPr>
        <w:pStyle w:val="165"/>
        <w:rPr>
          <w:rFonts w:hint="eastAsia"/>
        </w:rPr>
      </w:pPr>
      <w:r>
        <w:rPr>
          <w:rFonts w:hint="eastAsia"/>
        </w:rPr>
        <w:t>验收过程宜采用信息化手段记录，可依托智慧工地平台实现数据留痕。</w:t>
      </w:r>
    </w:p>
    <w:p w14:paraId="74EAC463">
      <w:pPr>
        <w:pStyle w:val="165"/>
      </w:pPr>
      <w:r>
        <w:rPr>
          <w:rFonts w:hint="eastAsia"/>
        </w:rPr>
        <w:t>本文件未涵盖的特殊工程，应制定补充验收方案并经监督机构审批。</w:t>
      </w:r>
    </w:p>
    <w:p w14:paraId="1A9538CC">
      <w:pPr>
        <w:pStyle w:val="104"/>
        <w:spacing w:before="240" w:after="240"/>
        <w:rPr>
          <w:rFonts w:hint="eastAsia"/>
        </w:rPr>
      </w:pPr>
      <w:bookmarkStart w:id="45" w:name="_Toc204694055"/>
      <w:r>
        <w:rPr>
          <w:rFonts w:hint="eastAsia"/>
        </w:rPr>
        <w:t>准备验收</w:t>
      </w:r>
      <w:bookmarkEnd w:id="45"/>
    </w:p>
    <w:p w14:paraId="69B0A66D">
      <w:pPr>
        <w:pStyle w:val="105"/>
        <w:spacing w:before="120" w:after="120"/>
        <w:rPr>
          <w:rFonts w:hint="eastAsia"/>
        </w:rPr>
      </w:pPr>
      <w:r>
        <w:rPr>
          <w:rFonts w:hint="eastAsia"/>
        </w:rPr>
        <w:t>验收申请</w:t>
      </w:r>
    </w:p>
    <w:p w14:paraId="38ED85E8">
      <w:pPr>
        <w:pStyle w:val="165"/>
        <w:rPr>
          <w:rFonts w:hint="eastAsia"/>
        </w:rPr>
      </w:pPr>
      <w:r>
        <w:rPr>
          <w:rFonts w:hint="eastAsia"/>
        </w:rPr>
        <w:t>施工单位应在完成自检且问题整改闭环后，向监理单位提交书面安全验收申请。</w:t>
      </w:r>
    </w:p>
    <w:p w14:paraId="0B36D4C0">
      <w:pPr>
        <w:pStyle w:val="165"/>
        <w:rPr>
          <w:rFonts w:hint="eastAsia"/>
        </w:rPr>
      </w:pPr>
      <w:r>
        <w:rPr>
          <w:rFonts w:hint="eastAsia"/>
        </w:rPr>
        <w:t>验收申请应附自评报告、整改记录及支持性证明材料，加盖施工单位公章。</w:t>
      </w:r>
    </w:p>
    <w:p w14:paraId="518C7775">
      <w:pPr>
        <w:pStyle w:val="165"/>
        <w:rPr>
          <w:rFonts w:hint="eastAsia"/>
        </w:rPr>
      </w:pPr>
      <w:r>
        <w:rPr>
          <w:rFonts w:hint="eastAsia"/>
        </w:rPr>
        <w:t>监理单位应在收到申请后24 h内完成资料初审，并核查资料完整性及整改有效性。</w:t>
      </w:r>
    </w:p>
    <w:p w14:paraId="14CF95B4">
      <w:pPr>
        <w:pStyle w:val="165"/>
        <w:rPr>
          <w:rFonts w:hint="eastAsia"/>
        </w:rPr>
      </w:pPr>
      <w:r>
        <w:rPr>
          <w:rFonts w:hint="eastAsia"/>
        </w:rPr>
        <w:t>初审通过后，监理单位应向建设单位提出正式验收建议，宜明确建议验收时间及范围。</w:t>
      </w:r>
    </w:p>
    <w:p w14:paraId="209ADE1F">
      <w:pPr>
        <w:pStyle w:val="105"/>
        <w:spacing w:before="120" w:after="120"/>
        <w:rPr>
          <w:rFonts w:hint="eastAsia"/>
        </w:rPr>
      </w:pPr>
      <w:r>
        <w:rPr>
          <w:rFonts w:hint="eastAsia"/>
        </w:rPr>
        <w:t>资料准备要求</w:t>
      </w:r>
    </w:p>
    <w:p w14:paraId="704819B6">
      <w:pPr>
        <w:pStyle w:val="165"/>
        <w:rPr>
          <w:rFonts w:hint="eastAsia"/>
        </w:rPr>
      </w:pPr>
      <w:r>
        <w:rPr>
          <w:rFonts w:hint="eastAsia"/>
        </w:rPr>
        <w:t>施工单位应准备以下基础资料供验收核查：</w:t>
      </w:r>
    </w:p>
    <w:p w14:paraId="190F3BC7">
      <w:pPr>
        <w:pStyle w:val="132"/>
      </w:pPr>
      <w:r>
        <w:rPr>
          <w:rFonts w:hint="eastAsia"/>
        </w:rPr>
        <w:t>施工许可证、安全报监文件等法定手续；</w:t>
      </w:r>
    </w:p>
    <w:p w14:paraId="7875010E">
      <w:pPr>
        <w:pStyle w:val="132"/>
      </w:pPr>
      <w:r>
        <w:rPr>
          <w:rFonts w:hint="eastAsia"/>
        </w:rPr>
        <w:t>施工组织设计及安全技术方案审批记录；</w:t>
      </w:r>
    </w:p>
    <w:p w14:paraId="3BB66608">
      <w:pPr>
        <w:pStyle w:val="132"/>
      </w:pPr>
      <w:r>
        <w:rPr>
          <w:rFonts w:hint="eastAsia"/>
        </w:rPr>
        <w:t>危险性较大分部分项工程专项方案及论证记录；</w:t>
      </w:r>
    </w:p>
    <w:p w14:paraId="5F7502C4">
      <w:pPr>
        <w:pStyle w:val="132"/>
      </w:pPr>
      <w:r>
        <w:rPr>
          <w:rFonts w:hint="eastAsia"/>
        </w:rPr>
        <w:t>安全技术交底记录、人员安全教育培训档案；</w:t>
      </w:r>
    </w:p>
    <w:p w14:paraId="26F80C72">
      <w:pPr>
        <w:pStyle w:val="132"/>
      </w:pPr>
      <w:r>
        <w:rPr>
          <w:rFonts w:hint="eastAsia"/>
        </w:rPr>
        <w:t>特种作业人员操作资格证书及备案清单。</w:t>
      </w:r>
    </w:p>
    <w:p w14:paraId="150232D4">
      <w:pPr>
        <w:pStyle w:val="165"/>
        <w:rPr>
          <w:rFonts w:hint="eastAsia"/>
        </w:rPr>
      </w:pPr>
      <w:r>
        <w:rPr>
          <w:rFonts w:hint="eastAsia"/>
        </w:rPr>
        <w:t>监理单位应提供以下过程监管资料：</w:t>
      </w:r>
    </w:p>
    <w:p w14:paraId="1064B873">
      <w:pPr>
        <w:pStyle w:val="132"/>
      </w:pPr>
      <w:r>
        <w:rPr>
          <w:rFonts w:hint="eastAsia"/>
        </w:rPr>
        <w:t>安全监理规划及实施细则；</w:t>
      </w:r>
    </w:p>
    <w:p w14:paraId="0304C78F">
      <w:pPr>
        <w:pStyle w:val="132"/>
      </w:pPr>
      <w:r>
        <w:rPr>
          <w:rFonts w:hint="eastAsia"/>
        </w:rPr>
        <w:t>安全隐患整改通知单及复查闭合记录；</w:t>
      </w:r>
    </w:p>
    <w:p w14:paraId="696859C4">
      <w:pPr>
        <w:pStyle w:val="132"/>
      </w:pPr>
      <w:r>
        <w:rPr>
          <w:rFonts w:hint="eastAsia"/>
        </w:rPr>
        <w:t>材料设备进场验收台账。</w:t>
      </w:r>
    </w:p>
    <w:p w14:paraId="6348A379">
      <w:pPr>
        <w:pStyle w:val="165"/>
        <w:rPr>
          <w:rFonts w:hint="eastAsia"/>
        </w:rPr>
      </w:pPr>
      <w:r>
        <w:rPr>
          <w:rFonts w:hint="eastAsia"/>
        </w:rPr>
        <w:t>所有资料应真实完整，分类装订成册，宜同步准备电子备份档案。</w:t>
      </w:r>
    </w:p>
    <w:p w14:paraId="41FBF78A">
      <w:pPr>
        <w:pStyle w:val="105"/>
        <w:spacing w:before="120" w:after="120"/>
        <w:rPr>
          <w:rFonts w:hint="eastAsia"/>
        </w:rPr>
      </w:pPr>
      <w:r>
        <w:rPr>
          <w:rFonts w:hint="eastAsia"/>
        </w:rPr>
        <w:t>验收组组建</w:t>
      </w:r>
    </w:p>
    <w:p w14:paraId="7A543063">
      <w:pPr>
        <w:pStyle w:val="165"/>
        <w:rPr>
          <w:rFonts w:hint="eastAsia"/>
        </w:rPr>
      </w:pPr>
      <w:r>
        <w:rPr>
          <w:rFonts w:hint="eastAsia"/>
        </w:rPr>
        <w:t>建设单位应在验收前3个工作日组建验收组，书面任命组长及成员。</w:t>
      </w:r>
    </w:p>
    <w:p w14:paraId="0AD13C35">
      <w:pPr>
        <w:pStyle w:val="165"/>
        <w:rPr>
          <w:rFonts w:hint="eastAsia"/>
        </w:rPr>
      </w:pPr>
      <w:r>
        <w:rPr>
          <w:rFonts w:hint="eastAsia"/>
        </w:rPr>
        <w:t>验收组应由建设单位项目负责人担任组长，成员应包含施工、监理、设计单位技术负责人及专职安全管理人员。</w:t>
      </w:r>
    </w:p>
    <w:p w14:paraId="17FF62A5">
      <w:pPr>
        <w:pStyle w:val="165"/>
        <w:rPr>
          <w:rFonts w:hint="eastAsia"/>
        </w:rPr>
      </w:pPr>
      <w:r>
        <w:rPr>
          <w:rFonts w:hint="eastAsia"/>
        </w:rPr>
        <w:t>涉及特种设备、深基坑、高大模板等专项验收时，可邀请外部专家参与，专家资格应符合行业规定。</w:t>
      </w:r>
    </w:p>
    <w:p w14:paraId="3B781FEB">
      <w:pPr>
        <w:pStyle w:val="165"/>
        <w:rPr>
          <w:rFonts w:hint="eastAsia"/>
        </w:rPr>
      </w:pPr>
      <w:r>
        <w:rPr>
          <w:rFonts w:hint="eastAsia"/>
        </w:rPr>
        <w:t>验收组全体成员应签署廉洁承诺书，并回避与自身存在利益关联的验收项目。</w:t>
      </w:r>
    </w:p>
    <w:p w14:paraId="2052A122">
      <w:pPr>
        <w:pStyle w:val="105"/>
        <w:spacing w:before="120" w:after="120"/>
        <w:rPr>
          <w:rFonts w:hint="eastAsia"/>
        </w:rPr>
      </w:pPr>
      <w:r>
        <w:rPr>
          <w:rFonts w:hint="eastAsia"/>
        </w:rPr>
        <w:t>现场条件准备</w:t>
      </w:r>
    </w:p>
    <w:p w14:paraId="1CFC6AFF">
      <w:pPr>
        <w:pStyle w:val="165"/>
        <w:rPr>
          <w:rFonts w:hint="eastAsia"/>
        </w:rPr>
      </w:pPr>
      <w:r>
        <w:rPr>
          <w:rFonts w:hint="eastAsia"/>
        </w:rPr>
        <w:t>施工单位应确保验收区域满足以下条件：</w:t>
      </w:r>
    </w:p>
    <w:p w14:paraId="1AA183B8">
      <w:pPr>
        <w:pStyle w:val="132"/>
      </w:pPr>
      <w:r>
        <w:rPr>
          <w:rFonts w:hint="eastAsia"/>
        </w:rPr>
        <w:t>安全通道应畅通无阻，临边洞口防护应齐全有效；</w:t>
      </w:r>
    </w:p>
    <w:p w14:paraId="4146DD78">
      <w:pPr>
        <w:pStyle w:val="132"/>
      </w:pPr>
      <w:r>
        <w:rPr>
          <w:rFonts w:hint="eastAsia"/>
        </w:rPr>
        <w:t>施工机具应停止作业并切断动力源，危险区域设置隔离警示；</w:t>
      </w:r>
    </w:p>
    <w:p w14:paraId="56AB2434">
      <w:pPr>
        <w:pStyle w:val="132"/>
      </w:pPr>
      <w:r>
        <w:rPr>
          <w:rFonts w:hint="eastAsia"/>
        </w:rPr>
        <w:t>验收区域照明应充足，高空作业面设置可靠立足点。</w:t>
      </w:r>
    </w:p>
    <w:p w14:paraId="7E98B009">
      <w:pPr>
        <w:pStyle w:val="165"/>
        <w:rPr>
          <w:rFonts w:hint="eastAsia"/>
        </w:rPr>
      </w:pPr>
      <w:r>
        <w:rPr>
          <w:rFonts w:hint="eastAsia"/>
        </w:rPr>
        <w:t>监理单位应提前核查现场条件，对照验收清单逐项预检，发现缺陷时应责令施工单位立即整改。</w:t>
      </w:r>
    </w:p>
    <w:p w14:paraId="42A63E9B">
      <w:pPr>
        <w:pStyle w:val="165"/>
        <w:rPr>
          <w:rFonts w:hint="eastAsia"/>
        </w:rPr>
      </w:pPr>
      <w:r>
        <w:rPr>
          <w:rFonts w:hint="eastAsia"/>
        </w:rPr>
        <w:t>现场宜配备验收专用工具包，可包含测距仪、力矩扳手、漏电检测仪等便携设备。</w:t>
      </w:r>
    </w:p>
    <w:p w14:paraId="270D577A">
      <w:pPr>
        <w:pStyle w:val="105"/>
        <w:spacing w:before="120" w:after="120"/>
        <w:rPr>
          <w:rFonts w:hint="eastAsia"/>
        </w:rPr>
      </w:pPr>
      <w:r>
        <w:rPr>
          <w:rFonts w:hint="eastAsia"/>
        </w:rPr>
        <w:t>验收计划制定</w:t>
      </w:r>
    </w:p>
    <w:p w14:paraId="45E1997E">
      <w:pPr>
        <w:pStyle w:val="165"/>
        <w:rPr>
          <w:rFonts w:hint="eastAsia"/>
        </w:rPr>
      </w:pPr>
      <w:r>
        <w:rPr>
          <w:rFonts w:hint="eastAsia"/>
        </w:rPr>
        <w:t>验收组组长应组织编制验收计划，应明确以下要素：</w:t>
      </w:r>
    </w:p>
    <w:p w14:paraId="7ACA5D1F">
      <w:pPr>
        <w:pStyle w:val="132"/>
      </w:pPr>
      <w:r>
        <w:rPr>
          <w:rFonts w:hint="eastAsia"/>
        </w:rPr>
        <w:t>验收范围、重点部位及抽样比例；</w:t>
      </w:r>
    </w:p>
    <w:p w14:paraId="4063731C">
      <w:pPr>
        <w:pStyle w:val="132"/>
      </w:pPr>
      <w:r>
        <w:rPr>
          <w:rFonts w:hint="eastAsia"/>
        </w:rPr>
        <w:t>资料核查与现场检查的时间分配；</w:t>
      </w:r>
    </w:p>
    <w:p w14:paraId="4243D4F6">
      <w:pPr>
        <w:pStyle w:val="132"/>
      </w:pPr>
      <w:r>
        <w:rPr>
          <w:rFonts w:hint="eastAsia"/>
        </w:rPr>
        <w:t>人员分工及沟通协调机制。</w:t>
      </w:r>
    </w:p>
    <w:p w14:paraId="3F4DA866">
      <w:pPr>
        <w:pStyle w:val="165"/>
        <w:rPr>
          <w:rFonts w:hint="eastAsia"/>
        </w:rPr>
      </w:pPr>
      <w:r>
        <w:rPr>
          <w:rFonts w:hint="eastAsia"/>
        </w:rPr>
        <w:t>验收计划宜采用表格化形式，应提前1个工作日向参验单位下发。</w:t>
      </w:r>
    </w:p>
    <w:p w14:paraId="21423264">
      <w:pPr>
        <w:pStyle w:val="165"/>
        <w:rPr>
          <w:rFonts w:hint="eastAsia"/>
        </w:rPr>
      </w:pPr>
      <w:r>
        <w:rPr>
          <w:rFonts w:hint="eastAsia"/>
        </w:rPr>
        <w:t>对大型或复杂工程，可划分验收片区并指定片区负责人，分段分时段实施验收。</w:t>
      </w:r>
    </w:p>
    <w:p w14:paraId="59CFA8BD">
      <w:pPr>
        <w:pStyle w:val="105"/>
        <w:spacing w:before="120" w:after="120"/>
        <w:rPr>
          <w:rFonts w:hint="eastAsia"/>
        </w:rPr>
      </w:pPr>
      <w:r>
        <w:rPr>
          <w:rFonts w:hint="eastAsia"/>
        </w:rPr>
        <w:t>技术准备要求</w:t>
      </w:r>
    </w:p>
    <w:p w14:paraId="0E894E5A">
      <w:pPr>
        <w:pStyle w:val="165"/>
        <w:rPr>
          <w:rFonts w:hint="eastAsia"/>
        </w:rPr>
      </w:pPr>
      <w:r>
        <w:rPr>
          <w:rFonts w:hint="eastAsia"/>
        </w:rPr>
        <w:t>施工单位应准备工程图纸、变更签证等设计文件，并标注重大危险源分布位置。</w:t>
      </w:r>
    </w:p>
    <w:p w14:paraId="448F978E">
      <w:pPr>
        <w:pStyle w:val="165"/>
        <w:rPr>
          <w:rFonts w:hint="eastAsia"/>
        </w:rPr>
      </w:pPr>
      <w:r>
        <w:rPr>
          <w:rFonts w:hint="eastAsia"/>
        </w:rPr>
        <w:t>验收组应提前熟悉设计图纸及安全专项方案，掌握关键验收指标及检测方法。</w:t>
      </w:r>
    </w:p>
    <w:p w14:paraId="53B5F9A7">
      <w:pPr>
        <w:pStyle w:val="165"/>
        <w:rPr>
          <w:rFonts w:hint="eastAsia"/>
        </w:rPr>
      </w:pPr>
      <w:r>
        <w:rPr>
          <w:rFonts w:hint="eastAsia"/>
        </w:rPr>
        <w:t>对新技术应用工程，应准备技术可行性论证报告，可要求方案编制人员进行现场讲解。</w:t>
      </w:r>
    </w:p>
    <w:p w14:paraId="7139E980">
      <w:pPr>
        <w:pStyle w:val="105"/>
        <w:spacing w:before="120" w:after="120"/>
        <w:rPr>
          <w:rFonts w:hint="eastAsia"/>
        </w:rPr>
      </w:pPr>
      <w:r>
        <w:rPr>
          <w:rFonts w:hint="eastAsia"/>
        </w:rPr>
        <w:t>会议与交底</w:t>
      </w:r>
    </w:p>
    <w:p w14:paraId="55BFBA3A">
      <w:pPr>
        <w:pStyle w:val="165"/>
        <w:rPr>
          <w:rFonts w:hint="eastAsia"/>
        </w:rPr>
      </w:pPr>
      <w:r>
        <w:rPr>
          <w:rFonts w:hint="eastAsia"/>
        </w:rPr>
        <w:t>验收实施前应召开预备会议，会议由验收组组长主持，参建各方项目负责人应参会。</w:t>
      </w:r>
    </w:p>
    <w:p w14:paraId="37581E1C">
      <w:pPr>
        <w:pStyle w:val="165"/>
        <w:rPr>
          <w:rFonts w:hint="eastAsia"/>
        </w:rPr>
      </w:pPr>
      <w:r>
        <w:rPr>
          <w:rFonts w:hint="eastAsia"/>
        </w:rPr>
        <w:t>会议议程应包含：</w:t>
      </w:r>
    </w:p>
    <w:p w14:paraId="4A87E63F">
      <w:pPr>
        <w:pStyle w:val="132"/>
      </w:pPr>
      <w:r>
        <w:rPr>
          <w:rFonts w:hint="eastAsia"/>
        </w:rPr>
        <w:t>施工单位汇报安全措施落实情况；</w:t>
      </w:r>
    </w:p>
    <w:p w14:paraId="5A98E311">
      <w:pPr>
        <w:pStyle w:val="132"/>
      </w:pPr>
      <w:r>
        <w:rPr>
          <w:rFonts w:hint="eastAsia"/>
        </w:rPr>
        <w:t>监理单位通报预验收结论；</w:t>
      </w:r>
    </w:p>
    <w:p w14:paraId="364BD765">
      <w:pPr>
        <w:pStyle w:val="132"/>
      </w:pPr>
      <w:r>
        <w:rPr>
          <w:rFonts w:hint="eastAsia"/>
        </w:rPr>
        <w:t>验收组宣布验收程序及纪律要求。</w:t>
      </w:r>
    </w:p>
    <w:p w14:paraId="16931DD4">
      <w:pPr>
        <w:pStyle w:val="165"/>
        <w:rPr>
          <w:rFonts w:hint="eastAsia"/>
        </w:rPr>
      </w:pPr>
      <w:r>
        <w:rPr>
          <w:rFonts w:hint="eastAsia"/>
        </w:rPr>
        <w:t>验收组长应对全员进行安全交底，告知现场风险点及应急疏散路线，检查个人防护用品佩戴情况。</w:t>
      </w:r>
    </w:p>
    <w:p w14:paraId="0D442D79">
      <w:pPr>
        <w:pStyle w:val="105"/>
        <w:spacing w:before="120" w:after="120"/>
        <w:rPr>
          <w:rFonts w:hint="eastAsia"/>
        </w:rPr>
      </w:pPr>
      <w:r>
        <w:rPr>
          <w:rFonts w:hint="eastAsia"/>
        </w:rPr>
        <w:t>特殊情况处理</w:t>
      </w:r>
    </w:p>
    <w:p w14:paraId="0B91424B">
      <w:pPr>
        <w:pStyle w:val="165"/>
        <w:rPr>
          <w:rFonts w:hint="eastAsia"/>
        </w:rPr>
      </w:pPr>
      <w:r>
        <w:rPr>
          <w:rFonts w:hint="eastAsia"/>
        </w:rPr>
        <w:t>遇暴雨、大风等恶劣天气时，可延期开展露天区域验收，室内验收应加强防滑防触电措施。</w:t>
      </w:r>
    </w:p>
    <w:p w14:paraId="5EA8E7B9">
      <w:pPr>
        <w:pStyle w:val="165"/>
        <w:rPr>
          <w:rFonts w:hint="eastAsia"/>
        </w:rPr>
      </w:pPr>
      <w:r>
        <w:rPr>
          <w:rFonts w:hint="eastAsia"/>
        </w:rPr>
        <w:t>对正在运行的消防系统、应急照明等设施，宜采用功能测试替代停机检查。</w:t>
      </w:r>
    </w:p>
    <w:p w14:paraId="6D7D1002">
      <w:pPr>
        <w:pStyle w:val="165"/>
      </w:pPr>
      <w:r>
        <w:rPr>
          <w:rFonts w:hint="eastAsia"/>
        </w:rPr>
        <w:t>发现资料缺失或存疑时，应立即中止验收程序，待补充验证后重新启动。</w:t>
      </w:r>
    </w:p>
    <w:p w14:paraId="10349449">
      <w:pPr>
        <w:pStyle w:val="104"/>
        <w:spacing w:before="240" w:after="240"/>
        <w:rPr>
          <w:rFonts w:hint="eastAsia"/>
        </w:rPr>
      </w:pPr>
      <w:bookmarkStart w:id="46" w:name="_Toc204694056"/>
      <w:r>
        <w:rPr>
          <w:rFonts w:hint="eastAsia"/>
        </w:rPr>
        <w:t>现场验收</w:t>
      </w:r>
      <w:bookmarkEnd w:id="46"/>
    </w:p>
    <w:p w14:paraId="4C2961ED">
      <w:pPr>
        <w:pStyle w:val="105"/>
        <w:spacing w:before="120" w:after="120"/>
        <w:rPr>
          <w:rFonts w:hint="eastAsia"/>
        </w:rPr>
      </w:pPr>
      <w:r>
        <w:rPr>
          <w:rFonts w:hint="eastAsia"/>
        </w:rPr>
        <w:t>验收启动</w:t>
      </w:r>
    </w:p>
    <w:p w14:paraId="6A9E9DC8">
      <w:pPr>
        <w:pStyle w:val="165"/>
        <w:rPr>
          <w:rFonts w:hint="eastAsia"/>
        </w:rPr>
      </w:pPr>
      <w:r>
        <w:rPr>
          <w:rFonts w:hint="eastAsia"/>
        </w:rPr>
        <w:t>验收组组长应在现场宣布验收启动，确认参验人员到岗及安全交底完成。</w:t>
      </w:r>
    </w:p>
    <w:p w14:paraId="6217F5F1">
      <w:pPr>
        <w:pStyle w:val="165"/>
        <w:rPr>
          <w:rFonts w:hint="eastAsia"/>
        </w:rPr>
      </w:pPr>
      <w:r>
        <w:rPr>
          <w:rFonts w:hint="eastAsia"/>
        </w:rPr>
        <w:t>施工单位应派专人全程配合验收，并提供图纸、检测工具及必要劳动防护用品。</w:t>
      </w:r>
    </w:p>
    <w:p w14:paraId="4C431B28">
      <w:pPr>
        <w:pStyle w:val="165"/>
        <w:rPr>
          <w:rFonts w:hint="eastAsia"/>
        </w:rPr>
      </w:pPr>
      <w:r>
        <w:rPr>
          <w:rFonts w:hint="eastAsia"/>
        </w:rPr>
        <w:t>验收区域应设置警示标识，无关人员不应进入，宜采用电子围栏限定活动范围。</w:t>
      </w:r>
    </w:p>
    <w:p w14:paraId="4E0754A8">
      <w:pPr>
        <w:pStyle w:val="105"/>
        <w:spacing w:before="120" w:after="120"/>
        <w:rPr>
          <w:rFonts w:hint="eastAsia"/>
        </w:rPr>
      </w:pPr>
      <w:r>
        <w:rPr>
          <w:rFonts w:hint="eastAsia"/>
        </w:rPr>
        <w:t>验收条件复核</w:t>
      </w:r>
    </w:p>
    <w:p w14:paraId="0A4793A4">
      <w:pPr>
        <w:pStyle w:val="165"/>
        <w:rPr>
          <w:rFonts w:hint="eastAsia"/>
        </w:rPr>
      </w:pPr>
      <w:r>
        <w:rPr>
          <w:rFonts w:hint="eastAsia"/>
        </w:rPr>
        <w:t>验收组应首先核查“准备验收”章节的落实情况，重点验证以下内容：</w:t>
      </w:r>
    </w:p>
    <w:p w14:paraId="76F7AF8D">
      <w:pPr>
        <w:pStyle w:val="132"/>
      </w:pPr>
      <w:r>
        <w:rPr>
          <w:rFonts w:hint="eastAsia"/>
        </w:rPr>
        <w:t>资料完整性及整改闭环证明；</w:t>
      </w:r>
    </w:p>
    <w:p w14:paraId="17169E2D">
      <w:pPr>
        <w:pStyle w:val="132"/>
      </w:pPr>
      <w:r>
        <w:rPr>
          <w:rFonts w:hint="eastAsia"/>
        </w:rPr>
        <w:t>现场隔离措施与安全状态保持情况；</w:t>
      </w:r>
    </w:p>
    <w:p w14:paraId="59BED1D4">
      <w:pPr>
        <w:pStyle w:val="132"/>
      </w:pPr>
      <w:r>
        <w:rPr>
          <w:rFonts w:hint="eastAsia"/>
        </w:rPr>
        <w:t>应急设备及逃生通道有效性。</w:t>
      </w:r>
    </w:p>
    <w:p w14:paraId="088495AD">
      <w:pPr>
        <w:pStyle w:val="165"/>
        <w:rPr>
          <w:rFonts w:hint="eastAsia"/>
        </w:rPr>
      </w:pPr>
      <w:r>
        <w:rPr>
          <w:rFonts w:hint="eastAsia"/>
        </w:rPr>
        <w:t>若发现前提条件缺失，应中止验收并责令限期补救，可重新启动验收程序。</w:t>
      </w:r>
    </w:p>
    <w:p w14:paraId="6E943A7F">
      <w:pPr>
        <w:pStyle w:val="105"/>
        <w:spacing w:before="120" w:after="120"/>
        <w:rPr>
          <w:rFonts w:hint="eastAsia"/>
        </w:rPr>
      </w:pPr>
      <w:r>
        <w:rPr>
          <w:rFonts w:hint="eastAsia"/>
        </w:rPr>
        <w:t>资料现场比对</w:t>
      </w:r>
    </w:p>
    <w:p w14:paraId="47951971">
      <w:pPr>
        <w:pStyle w:val="165"/>
        <w:rPr>
          <w:rFonts w:hint="eastAsia"/>
        </w:rPr>
      </w:pPr>
      <w:r>
        <w:rPr>
          <w:rFonts w:hint="eastAsia"/>
        </w:rPr>
        <w:t>验收组应抽取关键资料进行现场比对，宜采用以下方法：</w:t>
      </w:r>
    </w:p>
    <w:p w14:paraId="3DFDCEE8">
      <w:pPr>
        <w:pStyle w:val="132"/>
      </w:pPr>
      <w:r>
        <w:rPr>
          <w:rFonts w:hint="eastAsia"/>
        </w:rPr>
        <w:t>专项方案与现场实施位置的一致性核查；</w:t>
      </w:r>
    </w:p>
    <w:p w14:paraId="4CF75F5D">
      <w:pPr>
        <w:pStyle w:val="132"/>
      </w:pPr>
      <w:r>
        <w:rPr>
          <w:rFonts w:hint="eastAsia"/>
        </w:rPr>
        <w:t>材料合格证与实体标志的符合性验证；</w:t>
      </w:r>
    </w:p>
    <w:p w14:paraId="49125EC2">
      <w:pPr>
        <w:pStyle w:val="132"/>
      </w:pPr>
      <w:r>
        <w:rPr>
          <w:rFonts w:hint="eastAsia"/>
        </w:rPr>
        <w:t>人员资格证书与在岗人员的匹配性确认。</w:t>
      </w:r>
    </w:p>
    <w:p w14:paraId="60CA0880">
      <w:pPr>
        <w:pStyle w:val="165"/>
        <w:rPr>
          <w:rFonts w:hint="eastAsia"/>
        </w:rPr>
      </w:pPr>
      <w:r>
        <w:rPr>
          <w:rFonts w:hint="eastAsia"/>
        </w:rPr>
        <w:t>对隐蔽工程验收记录、检测报告等不可复查项，应重点核查签章有效性及逻辑合理性。</w:t>
      </w:r>
    </w:p>
    <w:p w14:paraId="55698BCB">
      <w:pPr>
        <w:pStyle w:val="105"/>
        <w:spacing w:before="120" w:after="120"/>
        <w:rPr>
          <w:rFonts w:hint="eastAsia"/>
        </w:rPr>
      </w:pPr>
      <w:r>
        <w:rPr>
          <w:rFonts w:hint="eastAsia"/>
        </w:rPr>
        <w:t>实体安全检查</w:t>
      </w:r>
    </w:p>
    <w:p w14:paraId="4D24D49F">
      <w:pPr>
        <w:pStyle w:val="165"/>
        <w:rPr>
          <w:rFonts w:hint="eastAsia"/>
        </w:rPr>
      </w:pPr>
      <w:r>
        <w:rPr>
          <w:rFonts w:hint="eastAsia"/>
        </w:rPr>
        <w:t>通用安全项目应包括以下内容：</w:t>
      </w:r>
    </w:p>
    <w:p w14:paraId="18FDA47E">
      <w:pPr>
        <w:pStyle w:val="132"/>
      </w:pPr>
      <w:r>
        <w:rPr>
          <w:rFonts w:hint="eastAsia"/>
        </w:rPr>
        <w:t>临边洞口防护应全数检查，防护设施牢固可承重；</w:t>
      </w:r>
    </w:p>
    <w:p w14:paraId="559C2940">
      <w:pPr>
        <w:pStyle w:val="132"/>
      </w:pPr>
      <w:r>
        <w:rPr>
          <w:rFonts w:hint="eastAsia"/>
        </w:rPr>
        <w:t>安全通道应保持畅通，净高及承重能力应满足疏散要求；</w:t>
      </w:r>
    </w:p>
    <w:p w14:paraId="62E74DEC">
      <w:pPr>
        <w:pStyle w:val="132"/>
      </w:pPr>
      <w:r>
        <w:rPr>
          <w:rFonts w:hint="eastAsia"/>
        </w:rPr>
        <w:t>高处作业平台应设置防滑措施，安全绳固定点应独立可靠。</w:t>
      </w:r>
    </w:p>
    <w:p w14:paraId="023409DB">
      <w:pPr>
        <w:pStyle w:val="165"/>
        <w:rPr>
          <w:rFonts w:hint="eastAsia"/>
        </w:rPr>
      </w:pPr>
      <w:r>
        <w:rPr>
          <w:rFonts w:hint="eastAsia"/>
        </w:rPr>
        <w:t>防护设施专项检查应包括以下内容：</w:t>
      </w:r>
    </w:p>
    <w:p w14:paraId="216ABBF3">
      <w:pPr>
        <w:pStyle w:val="132"/>
      </w:pPr>
      <w:r>
        <w:rPr>
          <w:rFonts w:hint="eastAsia"/>
        </w:rPr>
        <w:t>脚手架连墙件间距及剪刀撑设置应符合方案要求；</w:t>
      </w:r>
    </w:p>
    <w:p w14:paraId="16B92543">
      <w:pPr>
        <w:pStyle w:val="132"/>
      </w:pPr>
      <w:r>
        <w:rPr>
          <w:rFonts w:hint="eastAsia"/>
        </w:rPr>
        <w:t>模板支撑体系应无变形沉降，可调托撑螺纹外露长度应受控；</w:t>
      </w:r>
    </w:p>
    <w:p w14:paraId="57D7267F">
      <w:pPr>
        <w:pStyle w:val="132"/>
      </w:pPr>
      <w:r>
        <w:rPr>
          <w:rFonts w:hint="eastAsia"/>
        </w:rPr>
        <w:t>基坑支护结构位移监测数据应处于预警值内。</w:t>
      </w:r>
    </w:p>
    <w:p w14:paraId="5DBFB21B">
      <w:pPr>
        <w:pStyle w:val="165"/>
        <w:rPr>
          <w:rFonts w:hint="eastAsia"/>
        </w:rPr>
      </w:pPr>
      <w:r>
        <w:rPr>
          <w:rFonts w:hint="eastAsia"/>
        </w:rPr>
        <w:t>施工机械与吊装安全应包括以下内容：</w:t>
      </w:r>
    </w:p>
    <w:p w14:paraId="1E20A754">
      <w:pPr>
        <w:pStyle w:val="132"/>
      </w:pPr>
      <w:r>
        <w:rPr>
          <w:rFonts w:hint="eastAsia"/>
        </w:rPr>
        <w:t>塔吊限位装置应进行空载功能测试，标准节螺栓紧固应全数抽检；</w:t>
      </w:r>
    </w:p>
    <w:p w14:paraId="65BFFC1C">
      <w:pPr>
        <w:pStyle w:val="132"/>
      </w:pPr>
      <w:r>
        <w:rPr>
          <w:rFonts w:hint="eastAsia"/>
        </w:rPr>
        <w:t>施工电梯防坠器检测报告应在有效期内，层门连锁装置灵敏可靠；</w:t>
      </w:r>
    </w:p>
    <w:p w14:paraId="113799AA">
      <w:pPr>
        <w:pStyle w:val="132"/>
      </w:pPr>
      <w:r>
        <w:rPr>
          <w:rFonts w:hint="eastAsia"/>
        </w:rPr>
        <w:t>吊索具报废标准应现场公示，实际使用状况应无断丝变形。</w:t>
      </w:r>
    </w:p>
    <w:p w14:paraId="58FF37D3">
      <w:pPr>
        <w:pStyle w:val="105"/>
        <w:spacing w:before="120" w:after="120"/>
        <w:rPr>
          <w:rFonts w:hint="eastAsia"/>
        </w:rPr>
      </w:pPr>
      <w:r>
        <w:rPr>
          <w:rFonts w:hint="eastAsia"/>
        </w:rPr>
        <w:t>临时用电验收</w:t>
      </w:r>
    </w:p>
    <w:p w14:paraId="520D701E">
      <w:pPr>
        <w:pStyle w:val="165"/>
        <w:rPr>
          <w:rFonts w:hint="eastAsia"/>
        </w:rPr>
      </w:pPr>
      <w:r>
        <w:rPr>
          <w:rFonts w:hint="eastAsia"/>
        </w:rPr>
        <w:t>配电系统应核查三级配电两级保护实施情况，漏电保护器测试记录应完整。</w:t>
      </w:r>
    </w:p>
    <w:p w14:paraId="68932043">
      <w:pPr>
        <w:pStyle w:val="165"/>
        <w:rPr>
          <w:rFonts w:hint="eastAsia"/>
        </w:rPr>
      </w:pPr>
      <w:r>
        <w:rPr>
          <w:rFonts w:hint="eastAsia"/>
        </w:rPr>
        <w:t>电缆敷设应避免机械损伤，过路保护措施应全数检查。</w:t>
      </w:r>
    </w:p>
    <w:p w14:paraId="6F49A3B9">
      <w:pPr>
        <w:pStyle w:val="165"/>
        <w:rPr>
          <w:rFonts w:hint="eastAsia"/>
        </w:rPr>
      </w:pPr>
      <w:r>
        <w:rPr>
          <w:rFonts w:hint="eastAsia"/>
        </w:rPr>
        <w:t>手持电动工具绝缘电阻抽检比例不宜低于10%，接地电阻值应不大于4 Ω。</w:t>
      </w:r>
    </w:p>
    <w:p w14:paraId="5B416F09">
      <w:pPr>
        <w:pStyle w:val="105"/>
        <w:spacing w:before="120" w:after="120"/>
        <w:rPr>
          <w:rFonts w:hint="eastAsia"/>
        </w:rPr>
      </w:pPr>
      <w:r>
        <w:rPr>
          <w:rFonts w:hint="eastAsia"/>
        </w:rPr>
        <w:t>消防与应急验收</w:t>
      </w:r>
    </w:p>
    <w:p w14:paraId="784D85CE">
      <w:pPr>
        <w:pStyle w:val="165"/>
        <w:rPr>
          <w:rFonts w:hint="eastAsia"/>
        </w:rPr>
      </w:pPr>
      <w:r>
        <w:rPr>
          <w:rFonts w:hint="eastAsia"/>
        </w:rPr>
        <w:t>消防器材配置应覆盖动火点、仓库及生活区，压力表指针在绿区范围。</w:t>
      </w:r>
    </w:p>
    <w:p w14:paraId="5113325C">
      <w:pPr>
        <w:pStyle w:val="165"/>
        <w:rPr>
          <w:rFonts w:hint="eastAsia"/>
        </w:rPr>
      </w:pPr>
      <w:r>
        <w:rPr>
          <w:rFonts w:hint="eastAsia"/>
        </w:rPr>
        <w:t>应急照明系统应进行断电测试，持续供电时间满足疏散要求。</w:t>
      </w:r>
    </w:p>
    <w:p w14:paraId="687FDD71">
      <w:pPr>
        <w:pStyle w:val="165"/>
        <w:rPr>
          <w:rFonts w:hint="eastAsia"/>
        </w:rPr>
      </w:pPr>
      <w:r>
        <w:rPr>
          <w:rFonts w:hint="eastAsia"/>
        </w:rPr>
        <w:t>救援预案应现场随机抽问，义务消防队员应演示器材操作。</w:t>
      </w:r>
    </w:p>
    <w:p w14:paraId="3C1D85DD">
      <w:pPr>
        <w:pStyle w:val="105"/>
        <w:spacing w:before="120" w:after="120"/>
        <w:rPr>
          <w:rFonts w:hint="eastAsia"/>
        </w:rPr>
      </w:pPr>
      <w:r>
        <w:rPr>
          <w:rFonts w:hint="eastAsia"/>
        </w:rPr>
        <w:t>特殊场景验收</w:t>
      </w:r>
    </w:p>
    <w:p w14:paraId="53A541B5">
      <w:pPr>
        <w:pStyle w:val="165"/>
        <w:rPr>
          <w:rFonts w:hint="eastAsia"/>
        </w:rPr>
      </w:pPr>
      <w:r>
        <w:rPr>
          <w:rFonts w:hint="eastAsia"/>
        </w:rPr>
        <w:t>受限空间作业应符合下列要求：</w:t>
      </w:r>
    </w:p>
    <w:p w14:paraId="05D68F1B">
      <w:pPr>
        <w:pStyle w:val="132"/>
      </w:pPr>
      <w:r>
        <w:rPr>
          <w:rFonts w:hint="eastAsia"/>
        </w:rPr>
        <w:t>气体检测记录应现场复核，强制通风设备处于运行状态；</w:t>
      </w:r>
    </w:p>
    <w:p w14:paraId="133CA3D4">
      <w:pPr>
        <w:pStyle w:val="132"/>
      </w:pPr>
      <w:r>
        <w:rPr>
          <w:rFonts w:hint="eastAsia"/>
        </w:rPr>
        <w:t>外部监护人员应配备通讯器材，逃生梯应置于入口处。</w:t>
      </w:r>
    </w:p>
    <w:p w14:paraId="12C809DC">
      <w:pPr>
        <w:pStyle w:val="165"/>
        <w:rPr>
          <w:rFonts w:hint="eastAsia"/>
        </w:rPr>
      </w:pPr>
      <w:r>
        <w:rPr>
          <w:rFonts w:hint="eastAsia"/>
        </w:rPr>
        <w:t>交叉施工区域应符合下列要求：</w:t>
      </w:r>
    </w:p>
    <w:p w14:paraId="034847E5">
      <w:pPr>
        <w:pStyle w:val="132"/>
      </w:pPr>
      <w:r>
        <w:rPr>
          <w:rFonts w:hint="eastAsia"/>
        </w:rPr>
        <w:t>立体作业隔离层应做承重试验，焊渣接火斗应全数检查；</w:t>
      </w:r>
    </w:p>
    <w:p w14:paraId="06FADD15">
      <w:pPr>
        <w:pStyle w:val="132"/>
      </w:pPr>
      <w:r>
        <w:rPr>
          <w:rFonts w:hint="eastAsia"/>
        </w:rPr>
        <w:t>协调监护岗应持证在岗，交接班记录实时更新。</w:t>
      </w:r>
    </w:p>
    <w:p w14:paraId="5EE3FA8E">
      <w:pPr>
        <w:pStyle w:val="105"/>
        <w:spacing w:before="120" w:after="120"/>
        <w:rPr>
          <w:rFonts w:hint="eastAsia"/>
        </w:rPr>
      </w:pPr>
      <w:r>
        <w:rPr>
          <w:rFonts w:hint="eastAsia"/>
        </w:rPr>
        <w:t>验收过程记录</w:t>
      </w:r>
    </w:p>
    <w:p w14:paraId="6B101285">
      <w:pPr>
        <w:pStyle w:val="165"/>
        <w:rPr>
          <w:rFonts w:hint="eastAsia"/>
        </w:rPr>
      </w:pPr>
      <w:r>
        <w:rPr>
          <w:rFonts w:hint="eastAsia"/>
        </w:rPr>
        <w:t>验收组应使用统一检查表逐项记录，检查表应包含以下要素：</w:t>
      </w:r>
    </w:p>
    <w:p w14:paraId="62A35899">
      <w:pPr>
        <w:pStyle w:val="132"/>
      </w:pPr>
      <w:r>
        <w:rPr>
          <w:rFonts w:hint="eastAsia"/>
        </w:rPr>
        <w:t>检查部位、实测数据、缺陷描述；</w:t>
      </w:r>
    </w:p>
    <w:p w14:paraId="2F8ACF28">
      <w:pPr>
        <w:pStyle w:val="132"/>
      </w:pPr>
      <w:r>
        <w:rPr>
          <w:rFonts w:hint="eastAsia"/>
        </w:rPr>
        <w:t>影像资料编号及佐证材料索引。</w:t>
      </w:r>
    </w:p>
    <w:p w14:paraId="7B3A08BF">
      <w:pPr>
        <w:pStyle w:val="165"/>
        <w:rPr>
          <w:rFonts w:hint="eastAsia"/>
        </w:rPr>
      </w:pPr>
      <w:r>
        <w:rPr>
          <w:rFonts w:hint="eastAsia"/>
        </w:rPr>
        <w:t>关键项目验收宜采用区块链存证设备，可确保数据不可篡改。</w:t>
      </w:r>
    </w:p>
    <w:p w14:paraId="7C6E71B5">
      <w:pPr>
        <w:pStyle w:val="165"/>
        <w:rPr>
          <w:rFonts w:hint="eastAsia"/>
        </w:rPr>
      </w:pPr>
      <w:r>
        <w:rPr>
          <w:rFonts w:hint="eastAsia"/>
        </w:rPr>
        <w:t>所有记录应由施工、监理单位代表现场签字确认。</w:t>
      </w:r>
    </w:p>
    <w:p w14:paraId="7712954D">
      <w:pPr>
        <w:pStyle w:val="105"/>
        <w:spacing w:before="120" w:after="120"/>
        <w:rPr>
          <w:rFonts w:hint="eastAsia"/>
        </w:rPr>
      </w:pPr>
      <w:r>
        <w:rPr>
          <w:rFonts w:hint="eastAsia"/>
        </w:rPr>
        <w:t>现场问题处置</w:t>
      </w:r>
    </w:p>
    <w:p w14:paraId="1EF6A81B">
      <w:pPr>
        <w:pStyle w:val="165"/>
        <w:rPr>
          <w:rFonts w:hint="eastAsia"/>
        </w:rPr>
      </w:pPr>
      <w:r>
        <w:rPr>
          <w:rFonts w:hint="eastAsia"/>
        </w:rPr>
        <w:t>发现一般缺陷时，应口头告知施工单位立行立改，整改结果应经监理复核。</w:t>
      </w:r>
    </w:p>
    <w:p w14:paraId="779BD478">
      <w:pPr>
        <w:pStyle w:val="165"/>
        <w:rPr>
          <w:rFonts w:hint="eastAsia"/>
        </w:rPr>
      </w:pPr>
      <w:r>
        <w:rPr>
          <w:rFonts w:hint="eastAsia"/>
        </w:rPr>
        <w:t>对重大安全隐患或系统性失效，应签发《强制停工整改单》，报安全监督机构备案。</w:t>
      </w:r>
    </w:p>
    <w:p w14:paraId="3032F66E">
      <w:pPr>
        <w:pStyle w:val="165"/>
        <w:rPr>
          <w:rFonts w:hint="eastAsia"/>
        </w:rPr>
      </w:pPr>
      <w:r>
        <w:rPr>
          <w:rFonts w:hint="eastAsia"/>
        </w:rPr>
        <w:t>争议事项应现场复测或扩大抽检比例，必要时可委托第三方机构复核。</w:t>
      </w:r>
    </w:p>
    <w:p w14:paraId="51910B74">
      <w:pPr>
        <w:pStyle w:val="105"/>
        <w:spacing w:before="120" w:after="120"/>
        <w:rPr>
          <w:rFonts w:hint="eastAsia"/>
        </w:rPr>
      </w:pPr>
      <w:r>
        <w:rPr>
          <w:rFonts w:hint="eastAsia"/>
        </w:rPr>
        <w:t>验收中止情形</w:t>
      </w:r>
    </w:p>
    <w:p w14:paraId="44714505">
      <w:pPr>
        <w:pStyle w:val="165"/>
        <w:rPr>
          <w:rFonts w:hint="eastAsia"/>
        </w:rPr>
      </w:pPr>
      <w:r>
        <w:rPr>
          <w:rFonts w:hint="eastAsia"/>
        </w:rPr>
        <w:t>存在下列情况之一时应立即中止验收：</w:t>
      </w:r>
    </w:p>
    <w:p w14:paraId="4871AF87">
      <w:pPr>
        <w:pStyle w:val="132"/>
      </w:pPr>
      <w:r>
        <w:rPr>
          <w:rFonts w:hint="eastAsia"/>
        </w:rPr>
        <w:t>突发自然灾害预警；</w:t>
      </w:r>
    </w:p>
    <w:p w14:paraId="4C67984C">
      <w:pPr>
        <w:pStyle w:val="132"/>
      </w:pPr>
      <w:r>
        <w:rPr>
          <w:rFonts w:hint="eastAsia"/>
        </w:rPr>
        <w:t>发生安全生产事故；</w:t>
      </w:r>
    </w:p>
    <w:p w14:paraId="3D4A75AC">
      <w:pPr>
        <w:pStyle w:val="132"/>
      </w:pPr>
      <w:r>
        <w:rPr>
          <w:rFonts w:hint="eastAsia"/>
        </w:rPr>
        <w:t>关键资料被证实造假；</w:t>
      </w:r>
    </w:p>
    <w:p w14:paraId="6C912E0F">
      <w:pPr>
        <w:pStyle w:val="132"/>
      </w:pPr>
      <w:r>
        <w:rPr>
          <w:rFonts w:hint="eastAsia"/>
        </w:rPr>
        <w:t>验收人员遭受暴力阻挠。</w:t>
      </w:r>
    </w:p>
    <w:p w14:paraId="71DC1B47">
      <w:pPr>
        <w:pStyle w:val="165"/>
      </w:pPr>
      <w:r>
        <w:rPr>
          <w:rFonts w:hint="eastAsia"/>
        </w:rPr>
        <w:t>中止后再次验收应重新履行启动程序。</w:t>
      </w:r>
    </w:p>
    <w:p w14:paraId="5831F89F">
      <w:pPr>
        <w:pStyle w:val="104"/>
        <w:spacing w:before="240" w:after="240"/>
        <w:rPr>
          <w:rFonts w:hint="eastAsia"/>
        </w:rPr>
      </w:pPr>
      <w:bookmarkStart w:id="47" w:name="_Toc204694057"/>
      <w:r>
        <w:rPr>
          <w:rFonts w:hint="eastAsia"/>
        </w:rPr>
        <w:t>设施验收</w:t>
      </w:r>
      <w:bookmarkEnd w:id="47"/>
    </w:p>
    <w:p w14:paraId="101BDBDC">
      <w:pPr>
        <w:pStyle w:val="105"/>
        <w:spacing w:before="120" w:after="120"/>
        <w:rPr>
          <w:rFonts w:hint="eastAsia"/>
        </w:rPr>
      </w:pPr>
      <w:r>
        <w:rPr>
          <w:rFonts w:hint="eastAsia"/>
        </w:rPr>
        <w:t>通用要求</w:t>
      </w:r>
    </w:p>
    <w:p w14:paraId="17CE3036">
      <w:pPr>
        <w:pStyle w:val="165"/>
        <w:rPr>
          <w:rFonts w:hint="eastAsia"/>
        </w:rPr>
      </w:pPr>
      <w:r>
        <w:rPr>
          <w:rFonts w:hint="eastAsia"/>
        </w:rPr>
        <w:t>安全设施验收应与施工进度同步，在投入使用前完成功能验证。</w:t>
      </w:r>
    </w:p>
    <w:p w14:paraId="5C1C3E50">
      <w:pPr>
        <w:pStyle w:val="165"/>
        <w:rPr>
          <w:rFonts w:hint="eastAsia"/>
        </w:rPr>
      </w:pPr>
      <w:r>
        <w:rPr>
          <w:rFonts w:hint="eastAsia"/>
        </w:rPr>
        <w:t>设施技术参数应满足设计方案及国家强制标准，不应擅自修改原设计。</w:t>
      </w:r>
    </w:p>
    <w:p w14:paraId="428F73D4">
      <w:pPr>
        <w:pStyle w:val="165"/>
        <w:rPr>
          <w:rFonts w:hint="eastAsia"/>
        </w:rPr>
      </w:pPr>
      <w:r>
        <w:rPr>
          <w:rFonts w:hint="eastAsia"/>
        </w:rPr>
        <w:t>关键设施宜设置永久性验收标识牌，可包含验收日期、责任人及限载信息。</w:t>
      </w:r>
    </w:p>
    <w:p w14:paraId="137E9BCA">
      <w:pPr>
        <w:pStyle w:val="105"/>
        <w:spacing w:before="120" w:after="120"/>
        <w:rPr>
          <w:rFonts w:hint="eastAsia"/>
        </w:rPr>
      </w:pPr>
      <w:r>
        <w:rPr>
          <w:rFonts w:hint="eastAsia"/>
        </w:rPr>
        <w:t>防护设施验收</w:t>
      </w:r>
    </w:p>
    <w:p w14:paraId="7B2B6228">
      <w:pPr>
        <w:pStyle w:val="65"/>
        <w:spacing w:before="120" w:after="120"/>
        <w:rPr>
          <w:rFonts w:hint="eastAsia"/>
        </w:rPr>
      </w:pPr>
      <w:r>
        <w:rPr>
          <w:rFonts w:hint="eastAsia"/>
        </w:rPr>
        <w:t>脚手架系统</w:t>
      </w:r>
    </w:p>
    <w:p w14:paraId="4A618733">
      <w:pPr>
        <w:pStyle w:val="164"/>
      </w:pPr>
      <w:r>
        <w:rPr>
          <w:rFonts w:hint="eastAsia"/>
        </w:rPr>
        <w:t>立杆基础坚实无沉降，垫板尺寸及材质应合规。</w:t>
      </w:r>
    </w:p>
    <w:p w14:paraId="1A8C944F">
      <w:pPr>
        <w:pStyle w:val="164"/>
      </w:pPr>
      <w:r>
        <w:rPr>
          <w:rFonts w:hint="eastAsia"/>
        </w:rPr>
        <w:t>连墙件靠近主节点设置，竖向间距应不大于方案值。</w:t>
      </w:r>
    </w:p>
    <w:p w14:paraId="1E2259F1">
      <w:pPr>
        <w:pStyle w:val="164"/>
      </w:pPr>
      <w:r>
        <w:rPr>
          <w:rFonts w:hint="eastAsia"/>
        </w:rPr>
        <w:t>作业层脚手板满铺固定，端部探出长度应受控。</w:t>
      </w:r>
    </w:p>
    <w:p w14:paraId="283D180B">
      <w:pPr>
        <w:pStyle w:val="65"/>
        <w:spacing w:before="120" w:after="120"/>
        <w:rPr>
          <w:rFonts w:hint="eastAsia"/>
        </w:rPr>
      </w:pPr>
      <w:r>
        <w:rPr>
          <w:rFonts w:hint="eastAsia"/>
        </w:rPr>
        <w:t>临边与洞口防护</w:t>
      </w:r>
    </w:p>
    <w:p w14:paraId="4AD01A50">
      <w:pPr>
        <w:pStyle w:val="164"/>
      </w:pPr>
      <w:r>
        <w:rPr>
          <w:rFonts w:hint="eastAsia"/>
        </w:rPr>
        <w:t>基坑周边应设双道栏杆，下杆离地高度宜为</w:t>
      </w:r>
      <w:r>
        <w:t>0.5</w:t>
      </w:r>
      <w:r>
        <w:rPr>
          <w:rFonts w:hint="eastAsia"/>
        </w:rPr>
        <w:t xml:space="preserve"> </w:t>
      </w:r>
      <w:r>
        <w:t>m</w:t>
      </w:r>
      <w:r>
        <w:rPr>
          <w:rFonts w:hint="eastAsia"/>
        </w:rPr>
        <w:t>。</w:t>
      </w:r>
    </w:p>
    <w:p w14:paraId="2C8E515F">
      <w:pPr>
        <w:pStyle w:val="164"/>
      </w:pPr>
      <w:r>
        <w:rPr>
          <w:rFonts w:hint="eastAsia"/>
        </w:rPr>
        <w:t>竖向洞口应逐层封堵或设置工具式防护门。</w:t>
      </w:r>
    </w:p>
    <w:p w14:paraId="6AD468F9">
      <w:pPr>
        <w:pStyle w:val="164"/>
      </w:pPr>
      <w:r>
        <w:rPr>
          <w:rFonts w:hint="eastAsia"/>
        </w:rPr>
        <w:t>电梯井口防护应可承受</w:t>
      </w:r>
      <w:r>
        <w:t>1</w:t>
      </w:r>
      <w:r>
        <w:rPr>
          <w:rFonts w:hint="eastAsia"/>
        </w:rPr>
        <w:t xml:space="preserve"> </w:t>
      </w:r>
      <w:r>
        <w:t>kN</w:t>
      </w:r>
      <w:r>
        <w:rPr>
          <w:rFonts w:hint="eastAsia"/>
        </w:rPr>
        <w:t>水平冲击力。</w:t>
      </w:r>
    </w:p>
    <w:p w14:paraId="3CFD872D">
      <w:pPr>
        <w:pStyle w:val="65"/>
        <w:spacing w:before="120" w:after="120"/>
        <w:rPr>
          <w:rFonts w:hint="eastAsia"/>
        </w:rPr>
      </w:pPr>
      <w:r>
        <w:rPr>
          <w:rFonts w:hint="eastAsia"/>
        </w:rPr>
        <w:t>模板支撑体系</w:t>
      </w:r>
    </w:p>
    <w:p w14:paraId="653794CC">
      <w:pPr>
        <w:pStyle w:val="164"/>
      </w:pPr>
      <w:r>
        <w:rPr>
          <w:rFonts w:hint="eastAsia"/>
        </w:rPr>
        <w:t>可调托撑螺杆外露长度应不大于</w:t>
      </w:r>
      <w:r>
        <w:t>300</w:t>
      </w:r>
      <w:r>
        <w:rPr>
          <w:rFonts w:hint="eastAsia"/>
        </w:rPr>
        <w:t xml:space="preserve"> </w:t>
      </w:r>
      <w:r>
        <w:t>mm</w:t>
      </w:r>
      <w:r>
        <w:rPr>
          <w:rFonts w:hint="eastAsia"/>
        </w:rPr>
        <w:t>。</w:t>
      </w:r>
    </w:p>
    <w:p w14:paraId="205452F1">
      <w:pPr>
        <w:pStyle w:val="164"/>
      </w:pPr>
      <w:r>
        <w:rPr>
          <w:rFonts w:hint="eastAsia"/>
        </w:rPr>
        <w:t>水平杆步距偏差应控制在±</w:t>
      </w:r>
      <w:r>
        <w:t>50</w:t>
      </w:r>
      <w:r>
        <w:rPr>
          <w:rFonts w:hint="eastAsia"/>
        </w:rPr>
        <w:t xml:space="preserve"> </w:t>
      </w:r>
      <w:r>
        <w:t>mm</w:t>
      </w:r>
      <w:r>
        <w:rPr>
          <w:rFonts w:hint="eastAsia"/>
        </w:rPr>
        <w:t>内。</w:t>
      </w:r>
    </w:p>
    <w:p w14:paraId="5DFEB28D">
      <w:pPr>
        <w:pStyle w:val="164"/>
      </w:pPr>
      <w:r>
        <w:rPr>
          <w:rFonts w:hint="eastAsia"/>
        </w:rPr>
        <w:t>剪刀撑夹角应保持</w:t>
      </w:r>
      <w:r>
        <w:t>45°</w:t>
      </w:r>
      <w:r>
        <w:rPr>
          <w:rFonts w:hint="eastAsia"/>
        </w:rPr>
        <w:t>~</w:t>
      </w:r>
      <w:r>
        <w:t>60°</w:t>
      </w:r>
      <w:r>
        <w:rPr>
          <w:rFonts w:hint="eastAsia"/>
        </w:rPr>
        <w:t>，采用扭矩扳手抽检扣件紧固力。</w:t>
      </w:r>
    </w:p>
    <w:p w14:paraId="2AC7520A">
      <w:pPr>
        <w:pStyle w:val="105"/>
        <w:spacing w:before="120" w:after="120"/>
        <w:rPr>
          <w:rFonts w:hint="eastAsia"/>
        </w:rPr>
      </w:pPr>
      <w:r>
        <w:rPr>
          <w:rFonts w:hint="eastAsia"/>
        </w:rPr>
        <w:t>临时用电设施验收</w:t>
      </w:r>
    </w:p>
    <w:p w14:paraId="3BA31A68">
      <w:pPr>
        <w:pStyle w:val="65"/>
        <w:spacing w:before="120" w:after="120"/>
        <w:rPr>
          <w:rFonts w:hint="eastAsia"/>
        </w:rPr>
      </w:pPr>
      <w:r>
        <w:rPr>
          <w:rFonts w:hint="eastAsia"/>
        </w:rPr>
        <w:t>配电装置</w:t>
      </w:r>
    </w:p>
    <w:p w14:paraId="7B38DA46">
      <w:pPr>
        <w:pStyle w:val="164"/>
      </w:pPr>
      <w:r>
        <w:rPr>
          <w:rFonts w:hint="eastAsia"/>
        </w:rPr>
        <w:t>总配电室配备绝缘垫及应急照明，门应外开并上锁。</w:t>
      </w:r>
    </w:p>
    <w:p w14:paraId="4F1AAF1B">
      <w:pPr>
        <w:pStyle w:val="164"/>
      </w:pPr>
      <w:r>
        <w:rPr>
          <w:rFonts w:hint="eastAsia"/>
        </w:rPr>
        <w:t>配电箱</w:t>
      </w:r>
      <w:r>
        <w:t>PE</w:t>
      </w:r>
      <w:r>
        <w:rPr>
          <w:rFonts w:hint="eastAsia"/>
        </w:rPr>
        <w:t>线端子排独立设置，箱体接地电阻应不大于</w:t>
      </w:r>
      <w:r>
        <w:t>4</w:t>
      </w:r>
      <w:r>
        <w:rPr>
          <w:rFonts w:hint="eastAsia"/>
        </w:rPr>
        <w:t xml:space="preserve"> </w:t>
      </w:r>
      <w:r>
        <w:t>Ω</w:t>
      </w:r>
      <w:r>
        <w:rPr>
          <w:rFonts w:hint="eastAsia"/>
        </w:rPr>
        <w:t>。</w:t>
      </w:r>
    </w:p>
    <w:p w14:paraId="4DBC8C6E">
      <w:pPr>
        <w:pStyle w:val="164"/>
      </w:pPr>
      <w:r>
        <w:rPr>
          <w:rFonts w:hint="eastAsia"/>
        </w:rPr>
        <w:t>漏电保护器应逐级测试动作电流及时间，每月测试记录可查。</w:t>
      </w:r>
    </w:p>
    <w:p w14:paraId="7E590857">
      <w:pPr>
        <w:pStyle w:val="65"/>
        <w:spacing w:before="120" w:after="120"/>
        <w:rPr>
          <w:rFonts w:hint="eastAsia"/>
        </w:rPr>
      </w:pPr>
      <w:r>
        <w:rPr>
          <w:rFonts w:hint="eastAsia"/>
        </w:rPr>
        <w:t>线路敷设</w:t>
      </w:r>
    </w:p>
    <w:p w14:paraId="38A1FC60">
      <w:pPr>
        <w:pStyle w:val="164"/>
      </w:pPr>
      <w:r>
        <w:rPr>
          <w:rFonts w:hint="eastAsia"/>
        </w:rPr>
        <w:t>电缆过路应穿钢管保护，埋深不小于</w:t>
      </w:r>
      <w:r>
        <w:t>0.7</w:t>
      </w:r>
      <w:r>
        <w:rPr>
          <w:rFonts w:hint="eastAsia"/>
        </w:rPr>
        <w:t xml:space="preserve"> </w:t>
      </w:r>
      <w:r>
        <w:t>m</w:t>
      </w:r>
      <w:r>
        <w:rPr>
          <w:rFonts w:hint="eastAsia"/>
        </w:rPr>
        <w:t>。</w:t>
      </w:r>
    </w:p>
    <w:p w14:paraId="395BB1A3">
      <w:pPr>
        <w:pStyle w:val="164"/>
      </w:pPr>
      <w:r>
        <w:rPr>
          <w:rFonts w:hint="eastAsia"/>
        </w:rPr>
        <w:t>架空线路距施工面高度应不低于</w:t>
      </w:r>
      <w:r>
        <w:t>4</w:t>
      </w:r>
      <w:r>
        <w:rPr>
          <w:rFonts w:hint="eastAsia"/>
        </w:rPr>
        <w:t xml:space="preserve"> </w:t>
      </w:r>
      <w:r>
        <w:t>m</w:t>
      </w:r>
      <w:r>
        <w:rPr>
          <w:rFonts w:hint="eastAsia"/>
        </w:rPr>
        <w:t>，电杆倾斜不大于</w:t>
      </w:r>
      <w:r>
        <w:t>1%</w:t>
      </w:r>
      <w:r>
        <w:rPr>
          <w:rFonts w:hint="eastAsia"/>
        </w:rPr>
        <w:t>。</w:t>
      </w:r>
    </w:p>
    <w:p w14:paraId="0DBA8DFD">
      <w:pPr>
        <w:pStyle w:val="164"/>
      </w:pPr>
      <w:r>
        <w:rPr>
          <w:rFonts w:hint="eastAsia"/>
        </w:rPr>
        <w:t>潮湿场所照明电压应不大于</w:t>
      </w:r>
      <w:r>
        <w:t>24</w:t>
      </w:r>
      <w:r>
        <w:rPr>
          <w:rFonts w:hint="eastAsia"/>
        </w:rPr>
        <w:t xml:space="preserve"> </w:t>
      </w:r>
      <w:r>
        <w:t>V</w:t>
      </w:r>
      <w:r>
        <w:rPr>
          <w:rFonts w:hint="eastAsia"/>
        </w:rPr>
        <w:t>，变压器设置双绕组隔离。</w:t>
      </w:r>
    </w:p>
    <w:p w14:paraId="34CBA0B9">
      <w:pPr>
        <w:pStyle w:val="105"/>
        <w:spacing w:before="120" w:after="120"/>
        <w:rPr>
          <w:rFonts w:hint="eastAsia"/>
        </w:rPr>
      </w:pPr>
      <w:r>
        <w:rPr>
          <w:rFonts w:hint="eastAsia"/>
        </w:rPr>
        <w:t>消防设施验收</w:t>
      </w:r>
    </w:p>
    <w:p w14:paraId="02E1AF74">
      <w:pPr>
        <w:pStyle w:val="65"/>
        <w:spacing w:before="120" w:after="120"/>
        <w:rPr>
          <w:rFonts w:hint="eastAsia"/>
        </w:rPr>
      </w:pPr>
      <w:r>
        <w:rPr>
          <w:rFonts w:hint="eastAsia"/>
        </w:rPr>
        <w:t>灭火系统</w:t>
      </w:r>
    </w:p>
    <w:p w14:paraId="2714AB3E">
      <w:pPr>
        <w:pStyle w:val="164"/>
      </w:pPr>
      <w:r>
        <w:rPr>
          <w:rFonts w:hint="eastAsia"/>
        </w:rPr>
        <w:t>消火栓箱内水带水枪齐全，栓口压力应不低于</w:t>
      </w:r>
      <w:r>
        <w:t>0.25</w:t>
      </w:r>
      <w:r>
        <w:rPr>
          <w:rFonts w:hint="eastAsia"/>
        </w:rPr>
        <w:t xml:space="preserve"> </w:t>
      </w:r>
      <w:r>
        <w:t>MPa</w:t>
      </w:r>
      <w:r>
        <w:rPr>
          <w:rFonts w:hint="eastAsia"/>
        </w:rPr>
        <w:t>。</w:t>
      </w:r>
    </w:p>
    <w:p w14:paraId="5EFA228B">
      <w:pPr>
        <w:pStyle w:val="164"/>
      </w:pPr>
      <w:r>
        <w:rPr>
          <w:rFonts w:hint="eastAsia"/>
        </w:rPr>
        <w:t>动火区域</w:t>
      </w:r>
      <w:r>
        <w:t>5</w:t>
      </w:r>
      <w:r>
        <w:rPr>
          <w:rFonts w:hint="eastAsia"/>
        </w:rPr>
        <w:t xml:space="preserve"> </w:t>
      </w:r>
      <w:r>
        <w:t>m</w:t>
      </w:r>
      <w:r>
        <w:rPr>
          <w:rFonts w:hint="eastAsia"/>
        </w:rPr>
        <w:t>内应配置灭火器，类型及数量应匹配火险等级。</w:t>
      </w:r>
    </w:p>
    <w:p w14:paraId="3D0C281B">
      <w:pPr>
        <w:pStyle w:val="164"/>
      </w:pPr>
      <w:r>
        <w:rPr>
          <w:rFonts w:hint="eastAsia"/>
        </w:rPr>
        <w:t>仓库灭火器设置间距应不大于</w:t>
      </w:r>
      <w:r>
        <w:t>15</w:t>
      </w:r>
      <w:r>
        <w:rPr>
          <w:rFonts w:hint="eastAsia"/>
        </w:rPr>
        <w:t xml:space="preserve"> </w:t>
      </w:r>
      <w:r>
        <w:t>m</w:t>
      </w:r>
      <w:r>
        <w:rPr>
          <w:rFonts w:hint="eastAsia"/>
        </w:rPr>
        <w:t>，压力指示在绿区。</w:t>
      </w:r>
    </w:p>
    <w:p w14:paraId="3137F80A">
      <w:pPr>
        <w:pStyle w:val="65"/>
        <w:spacing w:before="120" w:after="120"/>
        <w:rPr>
          <w:rFonts w:hint="eastAsia"/>
        </w:rPr>
      </w:pPr>
      <w:r>
        <w:rPr>
          <w:rFonts w:hint="eastAsia"/>
        </w:rPr>
        <w:t>应急系统</w:t>
      </w:r>
    </w:p>
    <w:p w14:paraId="4B336B41">
      <w:pPr>
        <w:pStyle w:val="164"/>
      </w:pPr>
      <w:r>
        <w:rPr>
          <w:rFonts w:hint="eastAsia"/>
        </w:rPr>
        <w:t>疏散指示标志设在通道转角处</w:t>
      </w:r>
      <w:r>
        <w:t>1</w:t>
      </w:r>
      <w:r>
        <w:rPr>
          <w:rFonts w:hint="eastAsia"/>
        </w:rPr>
        <w:t xml:space="preserve"> </w:t>
      </w:r>
      <w:r>
        <w:t>m</w:t>
      </w:r>
      <w:r>
        <w:rPr>
          <w:rFonts w:hint="eastAsia"/>
        </w:rPr>
        <w:t>以下，蓄光型材料应持续发光</w:t>
      </w:r>
      <w:r>
        <w:t>30</w:t>
      </w:r>
      <w:r>
        <w:rPr>
          <w:rFonts w:hint="eastAsia"/>
        </w:rPr>
        <w:t xml:space="preserve"> </w:t>
      </w:r>
      <w:r>
        <w:t>min</w:t>
      </w:r>
      <w:r>
        <w:rPr>
          <w:rFonts w:hint="eastAsia"/>
        </w:rPr>
        <w:t>。</w:t>
      </w:r>
    </w:p>
    <w:p w14:paraId="0EA66B5E">
      <w:pPr>
        <w:pStyle w:val="164"/>
      </w:pPr>
      <w:r>
        <w:rPr>
          <w:rFonts w:hint="eastAsia"/>
        </w:rPr>
        <w:t>应急广播覆盖生活区及作业面，声压级应大于环境噪声</w:t>
      </w:r>
      <w:r>
        <w:t>15</w:t>
      </w:r>
      <w:r>
        <w:rPr>
          <w:rFonts w:hint="eastAsia"/>
        </w:rPr>
        <w:t xml:space="preserve"> </w:t>
      </w:r>
      <w:r>
        <w:t>dB</w:t>
      </w:r>
      <w:r>
        <w:rPr>
          <w:rFonts w:hint="eastAsia"/>
        </w:rPr>
        <w:t>。</w:t>
      </w:r>
    </w:p>
    <w:p w14:paraId="2171A4F4">
      <w:pPr>
        <w:pStyle w:val="164"/>
      </w:pPr>
      <w:r>
        <w:rPr>
          <w:rFonts w:hint="eastAsia"/>
        </w:rPr>
        <w:t>消防水池有效容积应满足持续供水</w:t>
      </w:r>
      <w:r>
        <w:t>2</w:t>
      </w:r>
      <w:r>
        <w:rPr>
          <w:rFonts w:hint="eastAsia"/>
        </w:rPr>
        <w:t xml:space="preserve"> </w:t>
      </w:r>
      <w:r>
        <w:t>h</w:t>
      </w:r>
      <w:r>
        <w:rPr>
          <w:rFonts w:hint="eastAsia"/>
        </w:rPr>
        <w:t>需求。</w:t>
      </w:r>
    </w:p>
    <w:p w14:paraId="5575CDDB">
      <w:pPr>
        <w:pStyle w:val="105"/>
        <w:spacing w:before="120" w:after="120"/>
        <w:rPr>
          <w:rFonts w:hint="eastAsia"/>
        </w:rPr>
      </w:pPr>
      <w:r>
        <w:rPr>
          <w:rFonts w:hint="eastAsia"/>
        </w:rPr>
        <w:t>特种设备安全验收</w:t>
      </w:r>
    </w:p>
    <w:p w14:paraId="23672CCB">
      <w:pPr>
        <w:pStyle w:val="65"/>
        <w:spacing w:before="120" w:after="120"/>
        <w:rPr>
          <w:rFonts w:hint="eastAsia"/>
        </w:rPr>
      </w:pPr>
      <w:r>
        <w:rPr>
          <w:rFonts w:hint="eastAsia"/>
        </w:rPr>
        <w:t>起重机械</w:t>
      </w:r>
    </w:p>
    <w:p w14:paraId="482E203E">
      <w:pPr>
        <w:pStyle w:val="164"/>
      </w:pPr>
      <w:r>
        <w:rPr>
          <w:rFonts w:hint="eastAsia"/>
        </w:rPr>
        <w:t>塔吊独立高度不超过说明书规定，附墙间距应通过计算确定。</w:t>
      </w:r>
    </w:p>
    <w:p w14:paraId="2C97C2B7">
      <w:pPr>
        <w:pStyle w:val="164"/>
      </w:pPr>
      <w:r>
        <w:rPr>
          <w:rFonts w:hint="eastAsia"/>
        </w:rPr>
        <w:t>施工电梯防坠器检测周期不大于</w:t>
      </w:r>
      <w:r>
        <w:t>1</w:t>
      </w:r>
      <w:r>
        <w:rPr>
          <w:rFonts w:hint="eastAsia"/>
        </w:rPr>
        <w:t>年，轿厢上限位应双重设置。</w:t>
      </w:r>
    </w:p>
    <w:p w14:paraId="5515B84D">
      <w:pPr>
        <w:pStyle w:val="164"/>
      </w:pPr>
      <w:r>
        <w:rPr>
          <w:rFonts w:hint="eastAsia"/>
        </w:rPr>
        <w:t>吊篮安全锁标定记录应在有效期内，配重块螺栓固定防拆除。</w:t>
      </w:r>
    </w:p>
    <w:p w14:paraId="32A4D4F5">
      <w:pPr>
        <w:pStyle w:val="65"/>
        <w:spacing w:before="120" w:after="120"/>
        <w:rPr>
          <w:rFonts w:hint="eastAsia"/>
        </w:rPr>
      </w:pPr>
      <w:r>
        <w:rPr>
          <w:rFonts w:hint="eastAsia"/>
        </w:rPr>
        <w:t>压力容器</w:t>
      </w:r>
    </w:p>
    <w:p w14:paraId="788A8781">
      <w:pPr>
        <w:pStyle w:val="164"/>
      </w:pPr>
      <w:r>
        <w:rPr>
          <w:rFonts w:hint="eastAsia"/>
        </w:rPr>
        <w:t>气瓶存储间应通风防曝晒，氧气乙炔间距不小于</w:t>
      </w:r>
      <w:r>
        <w:t>5</w:t>
      </w:r>
      <w:r>
        <w:rPr>
          <w:rFonts w:hint="eastAsia"/>
        </w:rPr>
        <w:t xml:space="preserve"> </w:t>
      </w:r>
      <w:r>
        <w:t>m</w:t>
      </w:r>
      <w:r>
        <w:rPr>
          <w:rFonts w:hint="eastAsia"/>
        </w:rPr>
        <w:t>。</w:t>
      </w:r>
    </w:p>
    <w:p w14:paraId="757D4B28">
      <w:pPr>
        <w:pStyle w:val="164"/>
      </w:pPr>
      <w:r>
        <w:rPr>
          <w:rFonts w:hint="eastAsia"/>
        </w:rPr>
        <w:t>减压阀压力表应定期校验，软管老化龟裂应强制更换。</w:t>
      </w:r>
    </w:p>
    <w:p w14:paraId="78231FCC">
      <w:pPr>
        <w:pStyle w:val="105"/>
        <w:spacing w:before="120" w:after="120"/>
        <w:rPr>
          <w:rFonts w:hint="eastAsia"/>
        </w:rPr>
      </w:pPr>
      <w:r>
        <w:rPr>
          <w:rFonts w:hint="eastAsia"/>
        </w:rPr>
        <w:t>验收方法与判定</w:t>
      </w:r>
    </w:p>
    <w:p w14:paraId="7687DB3A">
      <w:pPr>
        <w:pStyle w:val="65"/>
        <w:spacing w:before="120" w:after="120"/>
        <w:rPr>
          <w:rFonts w:hint="eastAsia"/>
        </w:rPr>
      </w:pPr>
      <w:r>
        <w:rPr>
          <w:rFonts w:hint="eastAsia"/>
        </w:rPr>
        <w:t>检测手段</w:t>
      </w:r>
    </w:p>
    <w:p w14:paraId="54F245AB">
      <w:pPr>
        <w:pStyle w:val="164"/>
      </w:pPr>
      <w:r>
        <w:rPr>
          <w:rFonts w:hint="eastAsia"/>
        </w:rPr>
        <w:t>结构类设施应采用尺量全数检查。</w:t>
      </w:r>
    </w:p>
    <w:p w14:paraId="6D6785DD">
      <w:pPr>
        <w:pStyle w:val="164"/>
      </w:pPr>
      <w:r>
        <w:rPr>
          <w:rFonts w:hint="eastAsia"/>
        </w:rPr>
        <w:t>电气安全应使用兆欧表、接地电阻仪抽检。</w:t>
      </w:r>
    </w:p>
    <w:p w14:paraId="378759D6">
      <w:pPr>
        <w:pStyle w:val="164"/>
      </w:pPr>
      <w:r>
        <w:rPr>
          <w:rFonts w:hint="eastAsia"/>
        </w:rPr>
        <w:t>防护设施强度宜采用静载试验验证。</w:t>
      </w:r>
    </w:p>
    <w:p w14:paraId="0E45945D">
      <w:pPr>
        <w:pStyle w:val="65"/>
        <w:spacing w:before="120" w:after="120"/>
        <w:rPr>
          <w:rFonts w:hint="eastAsia"/>
        </w:rPr>
      </w:pPr>
      <w:r>
        <w:rPr>
          <w:rFonts w:hint="eastAsia"/>
        </w:rPr>
        <w:t>结果判定</w:t>
      </w:r>
    </w:p>
    <w:p w14:paraId="1E595A3A">
      <w:pPr>
        <w:pStyle w:val="164"/>
      </w:pPr>
      <w:r>
        <w:rPr>
          <w:rFonts w:hint="eastAsia"/>
        </w:rPr>
        <w:t>关键项（如连墙件、防坠器）缺陷应一票否决。</w:t>
      </w:r>
    </w:p>
    <w:p w14:paraId="64E71D83">
      <w:pPr>
        <w:pStyle w:val="164"/>
      </w:pPr>
      <w:r>
        <w:rPr>
          <w:rFonts w:hint="eastAsia"/>
        </w:rPr>
        <w:t>一般项不合格率超过</w:t>
      </w:r>
      <w:r>
        <w:t>5%</w:t>
      </w:r>
      <w:r>
        <w:rPr>
          <w:rFonts w:hint="eastAsia"/>
        </w:rPr>
        <w:t>时应扩大抽检范围。</w:t>
      </w:r>
    </w:p>
    <w:p w14:paraId="11641E82">
      <w:pPr>
        <w:pStyle w:val="164"/>
      </w:pPr>
      <w:r>
        <w:rPr>
          <w:rFonts w:hint="eastAsia"/>
        </w:rPr>
        <w:t>涉及结构安全的设施整改后应重新验收。</w:t>
      </w:r>
    </w:p>
    <w:p w14:paraId="306B2F31">
      <w:pPr>
        <w:pStyle w:val="105"/>
        <w:spacing w:before="120" w:after="120"/>
        <w:rPr>
          <w:rFonts w:hint="eastAsia"/>
        </w:rPr>
      </w:pPr>
      <w:r>
        <w:rPr>
          <w:rFonts w:hint="eastAsia"/>
        </w:rPr>
        <w:t>资料归档要求</w:t>
      </w:r>
    </w:p>
    <w:p w14:paraId="1AFE4850">
      <w:pPr>
        <w:pStyle w:val="165"/>
        <w:rPr>
          <w:rFonts w:hint="eastAsia"/>
        </w:rPr>
      </w:pPr>
      <w:r>
        <w:rPr>
          <w:rFonts w:hint="eastAsia"/>
        </w:rPr>
        <w:t>验收记录应包含设施编号、检测数据及影像资料。</w:t>
      </w:r>
    </w:p>
    <w:p w14:paraId="2828F2EA">
      <w:pPr>
        <w:pStyle w:val="165"/>
        <w:rPr>
          <w:rFonts w:hint="eastAsia"/>
        </w:rPr>
      </w:pPr>
      <w:r>
        <w:rPr>
          <w:rFonts w:hint="eastAsia"/>
        </w:rPr>
        <w:t>特种设备应单独建立安全技术档案，保存期不少于设备报废后5年。</w:t>
      </w:r>
    </w:p>
    <w:p w14:paraId="1521CEE2">
      <w:pPr>
        <w:pStyle w:val="165"/>
      </w:pPr>
      <w:r>
        <w:rPr>
          <w:rFonts w:hint="eastAsia"/>
        </w:rPr>
        <w:t>消防设施检测报告应由法定机构出具，随工程档案永久保存。</w:t>
      </w:r>
    </w:p>
    <w:p w14:paraId="3D648E67">
      <w:pPr>
        <w:pStyle w:val="104"/>
        <w:spacing w:before="240" w:after="240"/>
        <w:rPr>
          <w:rFonts w:hint="eastAsia"/>
        </w:rPr>
      </w:pPr>
      <w:bookmarkStart w:id="48" w:name="_Toc204694058"/>
      <w:r>
        <w:rPr>
          <w:rFonts w:hint="eastAsia"/>
        </w:rPr>
        <w:t>用电验收</w:t>
      </w:r>
      <w:bookmarkEnd w:id="48"/>
    </w:p>
    <w:p w14:paraId="004F291A">
      <w:pPr>
        <w:pStyle w:val="105"/>
        <w:spacing w:before="120" w:after="120"/>
        <w:rPr>
          <w:rFonts w:hint="eastAsia"/>
        </w:rPr>
      </w:pPr>
      <w:r>
        <w:rPr>
          <w:rFonts w:hint="eastAsia"/>
        </w:rPr>
        <w:t>系统层级验收</w:t>
      </w:r>
    </w:p>
    <w:p w14:paraId="77E88350">
      <w:pPr>
        <w:pStyle w:val="65"/>
        <w:spacing w:before="120" w:after="120"/>
        <w:rPr>
          <w:rFonts w:hint="eastAsia"/>
        </w:rPr>
      </w:pPr>
      <w:r>
        <w:rPr>
          <w:rFonts w:hint="eastAsia"/>
        </w:rPr>
        <w:t>总配电系统</w:t>
      </w:r>
    </w:p>
    <w:p w14:paraId="04BED16D">
      <w:pPr>
        <w:pStyle w:val="164"/>
      </w:pPr>
      <w:r>
        <w:rPr>
          <w:rFonts w:hint="eastAsia"/>
        </w:rPr>
        <w:t>总配电室应独立设置并上锁，室内绝缘设施齐全有效。</w:t>
      </w:r>
    </w:p>
    <w:p w14:paraId="74A6E333">
      <w:pPr>
        <w:pStyle w:val="164"/>
      </w:pPr>
      <w:r>
        <w:rPr>
          <w:rFonts w:hint="eastAsia"/>
        </w:rPr>
        <w:t>配电柜内回路标识应清晰完整，隔离开关分断状态应可见。</w:t>
      </w:r>
    </w:p>
    <w:p w14:paraId="2A7DBE58">
      <w:pPr>
        <w:pStyle w:val="164"/>
      </w:pPr>
      <w:r>
        <w:rPr>
          <w:rFonts w:hint="eastAsia"/>
        </w:rPr>
        <w:t>变压器防护围栏高度不宜低于1.8 m，围栏接地电阻值应不大于4 Ω。</w:t>
      </w:r>
    </w:p>
    <w:p w14:paraId="2E028F19">
      <w:pPr>
        <w:pStyle w:val="164"/>
        <w:rPr>
          <w:rFonts w:hint="eastAsia"/>
        </w:rPr>
      </w:pPr>
      <w:r>
        <w:rPr>
          <w:rFonts w:hint="eastAsia"/>
        </w:rPr>
        <w:t>自备电源与市电切换装置应进行双电源闭锁测试。</w:t>
      </w:r>
    </w:p>
    <w:p w14:paraId="193A86FB">
      <w:pPr>
        <w:pStyle w:val="65"/>
        <w:spacing w:before="120" w:after="120"/>
        <w:rPr>
          <w:rFonts w:hint="eastAsia"/>
        </w:rPr>
      </w:pPr>
      <w:r>
        <w:rPr>
          <w:rFonts w:hint="eastAsia"/>
        </w:rPr>
        <w:t>分配电系统</w:t>
      </w:r>
    </w:p>
    <w:p w14:paraId="627A7F58">
      <w:pPr>
        <w:pStyle w:val="164"/>
      </w:pPr>
      <w:r>
        <w:rPr>
          <w:rFonts w:hint="eastAsia"/>
        </w:rPr>
        <w:t>分配电箱设置位置应避免机械损伤和腐蚀介质侵蚀，箱体中心距地面高度宜为1.4 m~1.6 m。</w:t>
      </w:r>
    </w:p>
    <w:p w14:paraId="086F0BE6">
      <w:pPr>
        <w:pStyle w:val="164"/>
      </w:pPr>
      <w:r>
        <w:rPr>
          <w:rFonts w:hint="eastAsia"/>
        </w:rPr>
        <w:t>箱内漏电保护器额定动作电流应不大于75 mA，动作时间应小于0.1 s。</w:t>
      </w:r>
    </w:p>
    <w:p w14:paraId="75590DF1">
      <w:pPr>
        <w:pStyle w:val="164"/>
        <w:rPr>
          <w:rFonts w:hint="eastAsia"/>
        </w:rPr>
      </w:pPr>
      <w:r>
        <w:rPr>
          <w:rFonts w:hint="eastAsia"/>
        </w:rPr>
        <w:t>移动式配电箱支架应稳固，进出线口应设置防拉脱卡具。</w:t>
      </w:r>
    </w:p>
    <w:p w14:paraId="59EAA669">
      <w:pPr>
        <w:pStyle w:val="65"/>
        <w:spacing w:before="120" w:after="120"/>
        <w:rPr>
          <w:rFonts w:hint="eastAsia"/>
        </w:rPr>
      </w:pPr>
      <w:r>
        <w:rPr>
          <w:rFonts w:hint="eastAsia"/>
        </w:rPr>
        <w:t>末级用电设备</w:t>
      </w:r>
    </w:p>
    <w:p w14:paraId="050AC8E5">
      <w:pPr>
        <w:pStyle w:val="164"/>
      </w:pPr>
      <w:r>
        <w:rPr>
          <w:rFonts w:hint="eastAsia"/>
        </w:rPr>
        <w:t>手持电动工具绝缘电阻值应不小于2 MΩ，电源线长度不宜超过5 m。</w:t>
      </w:r>
    </w:p>
    <w:p w14:paraId="0A48E24F">
      <w:pPr>
        <w:pStyle w:val="164"/>
      </w:pPr>
      <w:r>
        <w:rPr>
          <w:rFonts w:hint="eastAsia"/>
        </w:rPr>
        <w:t>电焊机二次侧应安装防触电保护器，露天放置时应设防雨罩。</w:t>
      </w:r>
    </w:p>
    <w:p w14:paraId="19FEE616">
      <w:pPr>
        <w:pStyle w:val="164"/>
        <w:rPr>
          <w:rFonts w:hint="eastAsia"/>
        </w:rPr>
      </w:pPr>
      <w:r>
        <w:rPr>
          <w:rFonts w:hint="eastAsia"/>
        </w:rPr>
        <w:t>照明灯具金属支架应重复接地，行灯电压在隧道等特殊场所应不大于2 4V。</w:t>
      </w:r>
    </w:p>
    <w:p w14:paraId="01FE2EAD">
      <w:pPr>
        <w:pStyle w:val="105"/>
        <w:spacing w:before="120" w:after="120"/>
        <w:rPr>
          <w:rFonts w:hint="eastAsia"/>
        </w:rPr>
      </w:pPr>
      <w:r>
        <w:rPr>
          <w:rFonts w:hint="eastAsia"/>
        </w:rPr>
        <w:t>关键保护验证</w:t>
      </w:r>
    </w:p>
    <w:p w14:paraId="67BF3E90">
      <w:pPr>
        <w:pStyle w:val="165"/>
      </w:pPr>
      <w:r>
        <w:rPr>
          <w:rFonts w:hint="eastAsia"/>
        </w:rPr>
        <w:t>三级配电两级保护功能应逐级测试，测试记录包含动作电流值和时间参数。</w:t>
      </w:r>
    </w:p>
    <w:p w14:paraId="0F515534">
      <w:pPr>
        <w:pStyle w:val="165"/>
        <w:rPr>
          <w:rFonts w:hint="eastAsia"/>
        </w:rPr>
      </w:pPr>
      <w:r>
        <w:rPr>
          <w:rFonts w:hint="eastAsia"/>
        </w:rPr>
        <w:t>保护零线应在总配电箱、分配电箱及设备终端三点分别重复接地，接地电阻抽检比例不宜低于20%。</w:t>
      </w:r>
    </w:p>
    <w:p w14:paraId="2A08DADF">
      <w:pPr>
        <w:pStyle w:val="165"/>
      </w:pPr>
      <w:r>
        <w:rPr>
          <w:rFonts w:hint="eastAsia"/>
        </w:rPr>
        <w:t>电缆过载保护装置应进行模拟过流测试，断路器脱扣特性应符合设备技术文件。</w:t>
      </w:r>
    </w:p>
    <w:p w14:paraId="3E3E61C4">
      <w:pPr>
        <w:pStyle w:val="165"/>
        <w:rPr>
          <w:rFonts w:hint="eastAsia"/>
        </w:rPr>
      </w:pPr>
      <w:r>
        <w:rPr>
          <w:rFonts w:hint="eastAsia"/>
        </w:rPr>
        <w:t>配电线路过路防护套管两端应高出地面50 mm以上，管口采取防割裂措施。</w:t>
      </w:r>
    </w:p>
    <w:p w14:paraId="0A97887B">
      <w:pPr>
        <w:pStyle w:val="105"/>
        <w:spacing w:before="120" w:after="120"/>
        <w:rPr>
          <w:rFonts w:hint="eastAsia"/>
        </w:rPr>
      </w:pPr>
      <w:r>
        <w:rPr>
          <w:rFonts w:hint="eastAsia"/>
        </w:rPr>
        <w:t>特殊环境管控</w:t>
      </w:r>
    </w:p>
    <w:p w14:paraId="1A44D63E">
      <w:pPr>
        <w:pStyle w:val="165"/>
      </w:pPr>
      <w:r>
        <w:rPr>
          <w:rFonts w:hint="eastAsia"/>
        </w:rPr>
        <w:t>潮湿场所用电设备应每日测试绝缘电阻，电缆接头处应采用防水绝缘胶带多层包扎。</w:t>
      </w:r>
    </w:p>
    <w:p w14:paraId="725B8B5B">
      <w:pPr>
        <w:pStyle w:val="165"/>
        <w:rPr>
          <w:rFonts w:hint="eastAsia"/>
        </w:rPr>
      </w:pPr>
      <w:r>
        <w:rPr>
          <w:rFonts w:hint="eastAsia"/>
        </w:rPr>
        <w:t>金属容器内照明电压应不大于12 V，变压器应置于容器外部并设置警示标识。</w:t>
      </w:r>
    </w:p>
    <w:p w14:paraId="21CD8E97">
      <w:pPr>
        <w:pStyle w:val="165"/>
      </w:pPr>
      <w:r>
        <w:rPr>
          <w:rFonts w:hint="eastAsia"/>
        </w:rPr>
        <w:t>地下室等有限空间配电线路应沿支架敷设，不应在地面随意拖放。</w:t>
      </w:r>
    </w:p>
    <w:p w14:paraId="3CFE167F">
      <w:pPr>
        <w:pStyle w:val="165"/>
        <w:rPr>
          <w:rFonts w:hint="eastAsia"/>
        </w:rPr>
      </w:pPr>
      <w:r>
        <w:rPr>
          <w:rFonts w:hint="eastAsia"/>
        </w:rPr>
        <w:t>高分子材料仓库内灯具防爆等级应匹配爆炸危险分区，开关箱设置在库房外通风处。</w:t>
      </w:r>
    </w:p>
    <w:p w14:paraId="167CB964">
      <w:pPr>
        <w:pStyle w:val="105"/>
        <w:spacing w:before="120" w:after="120"/>
        <w:rPr>
          <w:rFonts w:hint="eastAsia"/>
        </w:rPr>
      </w:pPr>
      <w:r>
        <w:rPr>
          <w:rFonts w:hint="eastAsia"/>
        </w:rPr>
        <w:t>验收管理要求</w:t>
      </w:r>
    </w:p>
    <w:p w14:paraId="49E0E301">
      <w:pPr>
        <w:pStyle w:val="165"/>
        <w:rPr>
          <w:rFonts w:hint="eastAsia"/>
        </w:rPr>
      </w:pPr>
      <w:r>
        <w:rPr>
          <w:rFonts w:hint="eastAsia"/>
        </w:rPr>
        <w:t>验收过程应形成书面记录，记录内容包含测试数据、缺陷描述及整改要求。验收报告应由施工、监理单位项目负责人共同签认。</w:t>
      </w:r>
    </w:p>
    <w:p w14:paraId="5371879C">
      <w:pPr>
        <w:pStyle w:val="165"/>
        <w:rPr>
          <w:rFonts w:hint="eastAsia"/>
        </w:rPr>
      </w:pPr>
      <w:r>
        <w:rPr>
          <w:rFonts w:hint="eastAsia"/>
        </w:rPr>
        <w:t>季节性施工前应组织用电系统复验，复验重点包含线路老化检查及接地可靠性验证。台风暴雨后应对配电设施进行绝缘电阻补测。</w:t>
      </w:r>
    </w:p>
    <w:p w14:paraId="23296DD9">
      <w:pPr>
        <w:pStyle w:val="165"/>
      </w:pPr>
      <w:r>
        <w:rPr>
          <w:rFonts w:hint="eastAsia"/>
        </w:rPr>
        <w:t>临时用电工程档案保存期限应不少于工程竣工后三年，档案内容宜包含系统拓扑图、检测报告及验收影像资料。</w:t>
      </w:r>
    </w:p>
    <w:p w14:paraId="1FC13D65">
      <w:pPr>
        <w:pStyle w:val="104"/>
        <w:spacing w:before="240" w:after="240"/>
        <w:rPr>
          <w:rFonts w:hint="eastAsia"/>
        </w:rPr>
      </w:pPr>
      <w:bookmarkStart w:id="49" w:name="_Toc204694059"/>
      <w:r>
        <w:rPr>
          <w:rFonts w:hint="eastAsia"/>
        </w:rPr>
        <w:t>资料归档</w:t>
      </w:r>
      <w:bookmarkEnd w:id="49"/>
    </w:p>
    <w:p w14:paraId="535D163F">
      <w:pPr>
        <w:pStyle w:val="105"/>
        <w:spacing w:before="120" w:after="120"/>
        <w:rPr>
          <w:rFonts w:hint="eastAsia"/>
        </w:rPr>
      </w:pPr>
      <w:r>
        <w:rPr>
          <w:rFonts w:hint="eastAsia"/>
        </w:rPr>
        <w:t>归档范围</w:t>
      </w:r>
    </w:p>
    <w:p w14:paraId="352B3E76">
      <w:pPr>
        <w:pStyle w:val="165"/>
        <w:rPr>
          <w:rFonts w:hint="eastAsia"/>
        </w:rPr>
      </w:pPr>
      <w:r>
        <w:rPr>
          <w:rFonts w:hint="eastAsia"/>
        </w:rPr>
        <w:t>验收全过程形成的书面记录、影像资料及电子数据应完整归档。归档内容包含安全验收申请、现场检查记录、整改闭环证明及最终结论文件。</w:t>
      </w:r>
    </w:p>
    <w:p w14:paraId="57080AF5">
      <w:pPr>
        <w:pStyle w:val="165"/>
        <w:rPr>
          <w:rFonts w:hint="eastAsia"/>
        </w:rPr>
      </w:pPr>
      <w:r>
        <w:rPr>
          <w:rFonts w:hint="eastAsia"/>
        </w:rPr>
        <w:t>关键设施验收应独立建档，特种设备安全技术档案涵盖安装告知书、检测报告及定期维护记录。</w:t>
      </w:r>
    </w:p>
    <w:p w14:paraId="6A994DE4">
      <w:pPr>
        <w:pStyle w:val="165"/>
        <w:rPr>
          <w:rFonts w:hint="eastAsia"/>
        </w:rPr>
      </w:pPr>
      <w:r>
        <w:rPr>
          <w:rFonts w:hint="eastAsia"/>
        </w:rPr>
        <w:t>涉及结构安全的隐蔽工程验收资料应永久保存，过程影像应清晰体现验收部位全貌。</w:t>
      </w:r>
    </w:p>
    <w:p w14:paraId="4B1A42FF">
      <w:pPr>
        <w:pStyle w:val="105"/>
        <w:spacing w:before="120" w:after="120"/>
        <w:rPr>
          <w:rFonts w:hint="eastAsia"/>
        </w:rPr>
      </w:pPr>
      <w:r>
        <w:rPr>
          <w:rFonts w:hint="eastAsia"/>
        </w:rPr>
        <w:t>文件编制要求</w:t>
      </w:r>
    </w:p>
    <w:p w14:paraId="49891304">
      <w:pPr>
        <w:pStyle w:val="165"/>
        <w:rPr>
          <w:rFonts w:hint="eastAsia"/>
        </w:rPr>
      </w:pPr>
      <w:r>
        <w:rPr>
          <w:rFonts w:hint="eastAsia"/>
        </w:rPr>
        <w:t>验收记录应采用统一制式表格，表格内容包含项目名称、验收日期、实测数据及责任人签章。文字描述应使用工程术语，数据修改处划改并签注修改人姓名。</w:t>
      </w:r>
    </w:p>
    <w:p w14:paraId="2AAB6D40">
      <w:pPr>
        <w:pStyle w:val="165"/>
        <w:rPr>
          <w:rFonts w:hint="eastAsia"/>
        </w:rPr>
      </w:pPr>
      <w:r>
        <w:rPr>
          <w:rFonts w:hint="eastAsia"/>
        </w:rPr>
        <w:t>影像资料应标注工程部位、拍摄方向及验收内容，单张照片有效像素不宜低于200万。视频记录应连续无剪辑，重要操作场景时长应不少于10 s。</w:t>
      </w:r>
    </w:p>
    <w:p w14:paraId="0D8B0034">
      <w:pPr>
        <w:pStyle w:val="165"/>
        <w:rPr>
          <w:rFonts w:hint="eastAsia"/>
        </w:rPr>
      </w:pPr>
      <w:r>
        <w:rPr>
          <w:rFonts w:hint="eastAsia"/>
        </w:rPr>
        <w:t>电子文件应同步生成防篡改PDF格式，扫描件分辨率满足原始内容可辨识要求。</w:t>
      </w:r>
    </w:p>
    <w:p w14:paraId="3C4CDA5E">
      <w:pPr>
        <w:pStyle w:val="105"/>
        <w:spacing w:before="120" w:after="120"/>
        <w:rPr>
          <w:rFonts w:hint="eastAsia"/>
        </w:rPr>
      </w:pPr>
      <w:r>
        <w:rPr>
          <w:rFonts w:hint="eastAsia"/>
        </w:rPr>
        <w:t>归档流程</w:t>
      </w:r>
    </w:p>
    <w:p w14:paraId="6B620B48">
      <w:pPr>
        <w:pStyle w:val="165"/>
        <w:rPr>
          <w:rFonts w:hint="eastAsia"/>
        </w:rPr>
      </w:pPr>
      <w:r>
        <w:rPr>
          <w:rFonts w:hint="eastAsia"/>
        </w:rPr>
        <w:t>施工单位应在验收通过后7日内完成资料组卷，组卷顺序按验收流程时间轴排列。监理单位应对资料真实性和完整性进行核查，核查无误后签署归档审核意见。</w:t>
      </w:r>
    </w:p>
    <w:p w14:paraId="2B57BFC5">
      <w:pPr>
        <w:pStyle w:val="165"/>
        <w:rPr>
          <w:rFonts w:hint="eastAsia"/>
        </w:rPr>
      </w:pPr>
      <w:r>
        <w:rPr>
          <w:rFonts w:hint="eastAsia"/>
        </w:rPr>
        <w:t>归档资料应建立三级编码体系，编码规则包含工程标段、专业类别及验收批次。纸质档案与电子目录的关联标识应准确一致。</w:t>
      </w:r>
    </w:p>
    <w:p w14:paraId="6064B0B8">
      <w:pPr>
        <w:pStyle w:val="165"/>
        <w:rPr>
          <w:rFonts w:hint="eastAsia"/>
        </w:rPr>
      </w:pPr>
      <w:r>
        <w:rPr>
          <w:rFonts w:hint="eastAsia"/>
        </w:rPr>
        <w:t>档案移交应办理书面交接手续，交接清单列明卷宗编号、文件名称及页数，移交双方负责人应共同签认。</w:t>
      </w:r>
    </w:p>
    <w:p w14:paraId="53265A55">
      <w:pPr>
        <w:pStyle w:val="105"/>
        <w:spacing w:before="120" w:after="120"/>
        <w:rPr>
          <w:rFonts w:hint="eastAsia"/>
        </w:rPr>
      </w:pPr>
      <w:r>
        <w:rPr>
          <w:rFonts w:hint="eastAsia"/>
        </w:rPr>
        <w:t>档案保管与利用</w:t>
      </w:r>
    </w:p>
    <w:p w14:paraId="016457C8">
      <w:pPr>
        <w:pStyle w:val="165"/>
        <w:rPr>
          <w:rFonts w:hint="eastAsia"/>
        </w:rPr>
      </w:pPr>
      <w:r>
        <w:rPr>
          <w:rFonts w:hint="eastAsia"/>
        </w:rPr>
        <w:t>纸质档案存放于专用档案库房，库房环境应满足防潮、防火及防盗要求。电子档案应实行双备份制度，本地服务器与云端存储同步更新。</w:t>
      </w:r>
    </w:p>
    <w:p w14:paraId="01885286">
      <w:pPr>
        <w:pStyle w:val="165"/>
        <w:rPr>
          <w:rFonts w:hint="eastAsia"/>
        </w:rPr>
      </w:pPr>
      <w:r>
        <w:rPr>
          <w:rFonts w:hint="eastAsia"/>
        </w:rPr>
        <w:t>施工期间档案查阅应登记用途及责任人，涉及事故调查的原始记录调取应有安全监督机构书面授权。</w:t>
      </w:r>
    </w:p>
    <w:p w14:paraId="65D2A15D">
      <w:pPr>
        <w:pStyle w:val="165"/>
        <w:rPr>
          <w:rFonts w:hint="eastAsia"/>
        </w:rPr>
      </w:pPr>
      <w:r>
        <w:rPr>
          <w:rFonts w:hint="eastAsia"/>
        </w:rPr>
        <w:t>工程竣工后档案保存期限应符合国家规定，其中安全验收核心资料法定保存期不少于工程合理使用年限。销毁超期档案编制销毁清册并经技术负责人批准。</w:t>
      </w:r>
    </w:p>
    <w:p w14:paraId="0577F346">
      <w:pPr>
        <w:pStyle w:val="105"/>
        <w:spacing w:before="120" w:after="120"/>
        <w:rPr>
          <w:rFonts w:hint="eastAsia"/>
        </w:rPr>
      </w:pPr>
      <w:r>
        <w:rPr>
          <w:rFonts w:hint="eastAsia"/>
        </w:rPr>
        <w:t>电子化管理</w:t>
      </w:r>
    </w:p>
    <w:p w14:paraId="65BC6565">
      <w:pPr>
        <w:pStyle w:val="165"/>
        <w:rPr>
          <w:rFonts w:hint="eastAsia"/>
        </w:rPr>
      </w:pPr>
      <w:r>
        <w:rPr>
          <w:rFonts w:hint="eastAsia"/>
        </w:rPr>
        <w:t>宜建立数字化档案管理平台，验收资料上传应在验收完成后24 h内完成。平台应具备数字签名、电子签章及区块链存证功能。</w:t>
      </w:r>
    </w:p>
    <w:p w14:paraId="00757C31">
      <w:pPr>
        <w:pStyle w:val="165"/>
      </w:pPr>
      <w:r>
        <w:rPr>
          <w:rFonts w:hint="eastAsia"/>
        </w:rPr>
        <w:t>电子档案检索系统应支持关键字段模糊查询，历史版本追溯功能保留修改痕迹及操作日志。</w:t>
      </w:r>
    </w:p>
    <w:bookmarkEnd w:id="17"/>
    <w:bookmarkEnd w:id="30"/>
    <w:p w14:paraId="4A11AD78">
      <w:pPr>
        <w:pStyle w:val="56"/>
        <w:ind w:firstLine="0" w:firstLineChars="0"/>
        <w:jc w:val="center"/>
        <w:rPr>
          <w:rFonts w:hint="eastAsia"/>
        </w:rPr>
      </w:pPr>
      <w:bookmarkStart w:id="50" w:name="BookMark8"/>
      <w:r>
        <w:rPr>
          <w:rFonts w:hint="eastAsia"/>
        </w:rPr>
        <w:drawing>
          <wp:inline distT="0" distB="0" distL="0" distR="0">
            <wp:extent cx="1485900" cy="317500"/>
            <wp:effectExtent l="0" t="0" r="0" b="6350"/>
            <wp:docPr id="1022321164" name="图片 3"/>
            <wp:cNvGraphicFramePr/>
            <a:graphic xmlns:a="http://schemas.openxmlformats.org/drawingml/2006/main">
              <a:graphicData uri="http://schemas.openxmlformats.org/drawingml/2006/picture">
                <pic:pic xmlns:pic="http://schemas.openxmlformats.org/drawingml/2006/picture">
                  <pic:nvPicPr>
                    <pic:cNvPr id="1022321164"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41A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0BF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642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77E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3B8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995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965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B410">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6C2C">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F53"/>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2BD1"/>
    <w:rsid w:val="00133010"/>
    <w:rsid w:val="001338EE"/>
    <w:rsid w:val="00133AAE"/>
    <w:rsid w:val="00135323"/>
    <w:rsid w:val="001356C4"/>
    <w:rsid w:val="00137565"/>
    <w:rsid w:val="00141114"/>
    <w:rsid w:val="00142969"/>
    <w:rsid w:val="001446C2"/>
    <w:rsid w:val="001457E7"/>
    <w:rsid w:val="00145D9D"/>
    <w:rsid w:val="00146388"/>
    <w:rsid w:val="001529E5"/>
    <w:rsid w:val="00152BEF"/>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3417"/>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48A"/>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2D5"/>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CA8"/>
    <w:rsid w:val="00405884"/>
    <w:rsid w:val="00407D39"/>
    <w:rsid w:val="0041477A"/>
    <w:rsid w:val="004167A3"/>
    <w:rsid w:val="00417B55"/>
    <w:rsid w:val="00427FC2"/>
    <w:rsid w:val="00432DAA"/>
    <w:rsid w:val="00434305"/>
    <w:rsid w:val="00435694"/>
    <w:rsid w:val="00435DF7"/>
    <w:rsid w:val="0044083F"/>
    <w:rsid w:val="00441AE7"/>
    <w:rsid w:val="00444A1C"/>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8EF"/>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D6F"/>
    <w:rsid w:val="00562308"/>
    <w:rsid w:val="0056487B"/>
    <w:rsid w:val="00564FB9"/>
    <w:rsid w:val="00571298"/>
    <w:rsid w:val="00573D9E"/>
    <w:rsid w:val="005801E3"/>
    <w:rsid w:val="00581802"/>
    <w:rsid w:val="005836A8"/>
    <w:rsid w:val="0058409C"/>
    <w:rsid w:val="00584262"/>
    <w:rsid w:val="00584F48"/>
    <w:rsid w:val="00586630"/>
    <w:rsid w:val="00587ADD"/>
    <w:rsid w:val="00593A49"/>
    <w:rsid w:val="00596160"/>
    <w:rsid w:val="005966E2"/>
    <w:rsid w:val="00597007"/>
    <w:rsid w:val="005A0966"/>
    <w:rsid w:val="005A11B7"/>
    <w:rsid w:val="005A260B"/>
    <w:rsid w:val="005A324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670"/>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1E3"/>
    <w:rsid w:val="007322D9"/>
    <w:rsid w:val="00732BC0"/>
    <w:rsid w:val="0073322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4B6"/>
    <w:rsid w:val="0078114B"/>
    <w:rsid w:val="00781DD2"/>
    <w:rsid w:val="00783ECF"/>
    <w:rsid w:val="0078413A"/>
    <w:rsid w:val="00785D8B"/>
    <w:rsid w:val="00790B02"/>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1BB"/>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AF6"/>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EBC"/>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C2B"/>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008"/>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CE6"/>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E0C"/>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089"/>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FD4"/>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43A"/>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2A7"/>
    <w:rsid w:val="00B265BC"/>
    <w:rsid w:val="00B31FB1"/>
    <w:rsid w:val="00B33952"/>
    <w:rsid w:val="00B33C5E"/>
    <w:rsid w:val="00B342F4"/>
    <w:rsid w:val="00B34369"/>
    <w:rsid w:val="00B34DC2"/>
    <w:rsid w:val="00B378E5"/>
    <w:rsid w:val="00B4346D"/>
    <w:rsid w:val="00B43EA0"/>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00E"/>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93C"/>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DE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9FE"/>
    <w:rsid w:val="00D643E7"/>
    <w:rsid w:val="00D66846"/>
    <w:rsid w:val="00D675FB"/>
    <w:rsid w:val="00D71F25"/>
    <w:rsid w:val="00D72A9C"/>
    <w:rsid w:val="00D73397"/>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78D"/>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E26"/>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DD7"/>
    <w:rsid w:val="00EE613F"/>
    <w:rsid w:val="00EE7295"/>
    <w:rsid w:val="00EE7869"/>
    <w:rsid w:val="00EF054A"/>
    <w:rsid w:val="00EF3235"/>
    <w:rsid w:val="00EF7E72"/>
    <w:rsid w:val="00F02E7A"/>
    <w:rsid w:val="00F06D37"/>
    <w:rsid w:val="00F07B9D"/>
    <w:rsid w:val="00F11586"/>
    <w:rsid w:val="00F1183B"/>
    <w:rsid w:val="00F11C9F"/>
    <w:rsid w:val="00F12263"/>
    <w:rsid w:val="00F13818"/>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C34"/>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DC2715"/>
    <w:rsid w:val="09A82D92"/>
    <w:rsid w:val="0F56083A"/>
    <w:rsid w:val="122F3CE5"/>
    <w:rsid w:val="13943847"/>
    <w:rsid w:val="2D792157"/>
    <w:rsid w:val="33075470"/>
    <w:rsid w:val="34684D49"/>
    <w:rsid w:val="39033292"/>
    <w:rsid w:val="40F531BC"/>
    <w:rsid w:val="4F6E725F"/>
    <w:rsid w:val="5346672E"/>
    <w:rsid w:val="5E015742"/>
    <w:rsid w:val="5E59732C"/>
    <w:rsid w:val="62E667B3"/>
    <w:rsid w:val="741E320F"/>
    <w:rsid w:val="7C43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CBA679A27324D7F8D77F709BD6B3115"/>
        <w:style w:val=""/>
        <w:category>
          <w:name w:val="常规"/>
          <w:gallery w:val="placeholder"/>
        </w:category>
        <w:types>
          <w:type w:val="bbPlcHdr"/>
        </w:types>
        <w:behaviors>
          <w:behavior w:val="content"/>
        </w:behaviors>
        <w:description w:val=""/>
        <w:guid w:val="{6C3D4A23-C712-4E9E-A582-822E80572796}"/>
      </w:docPartPr>
      <w:docPartBody>
        <w:p w14:paraId="2A83A1B2">
          <w:pPr>
            <w:pStyle w:val="5"/>
            <w:rPr>
              <w:rFonts w:hint="eastAsia"/>
            </w:rPr>
          </w:pPr>
          <w:r>
            <w:rPr>
              <w:rStyle w:val="4"/>
              <w:rFonts w:hint="eastAsia"/>
            </w:rPr>
            <w:t>单击或点击此处输入文字。</w:t>
          </w:r>
        </w:p>
      </w:docPartBody>
    </w:docPart>
    <w:docPart>
      <w:docPartPr>
        <w:name w:val="30A00ABB160A49B5A4051EC8D61EE699"/>
        <w:style w:val=""/>
        <w:category>
          <w:name w:val="常规"/>
          <w:gallery w:val="placeholder"/>
        </w:category>
        <w:types>
          <w:type w:val="bbPlcHdr"/>
        </w:types>
        <w:behaviors>
          <w:behavior w:val="content"/>
        </w:behaviors>
        <w:description w:val=""/>
        <w:guid w:val="{AF990332-3244-45F2-ADB0-E76DDC1337E4}"/>
      </w:docPartPr>
      <w:docPartBody>
        <w:p w14:paraId="7CD7DDB7">
          <w:pPr>
            <w:pStyle w:val="6"/>
            <w:rPr>
              <w:rFonts w:hint="eastAsia"/>
            </w:rPr>
          </w:pPr>
          <w:r>
            <w:rPr>
              <w:rStyle w:val="4"/>
              <w:rFonts w:hint="eastAsia"/>
            </w:rPr>
            <w:t>选择一项。</w:t>
          </w:r>
        </w:p>
      </w:docPartBody>
    </w:docPart>
    <w:docPart>
      <w:docPartPr>
        <w:name w:val="337CFF78DC904CC083E15F12143E2020"/>
        <w:style w:val=""/>
        <w:category>
          <w:name w:val="常规"/>
          <w:gallery w:val="placeholder"/>
        </w:category>
        <w:types>
          <w:type w:val="bbPlcHdr"/>
        </w:types>
        <w:behaviors>
          <w:behavior w:val="content"/>
        </w:behaviors>
        <w:description w:val=""/>
        <w:guid w:val="{34BB3A94-603E-430A-BB0F-501A222D464D}"/>
      </w:docPartPr>
      <w:docPartBody>
        <w:p w14:paraId="1514945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E3"/>
    <w:rsid w:val="00187A37"/>
    <w:rsid w:val="002652E3"/>
    <w:rsid w:val="00404CA8"/>
    <w:rsid w:val="00571298"/>
    <w:rsid w:val="0081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CBA679A27324D7F8D77F709BD6B311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0A00ABB160A49B5A4051EC8D61EE69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37CFF78DC904CC083E15F12143E202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6469</Words>
  <Characters>6650</Characters>
  <Lines>309</Lines>
  <Paragraphs>347</Paragraphs>
  <TotalTime>0</TotalTime>
  <ScaleCrop>false</ScaleCrop>
  <LinksUpToDate>false</LinksUpToDate>
  <CharactersWithSpaces>6739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2025-07-28T09:41:00Z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2025-12-15T09:11:03Z</dcterms:modified>
  <dc:title>团体标准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C7EB01613F4A4ADEA720DA1D58C6ADE3_12</vt:lpwstr>
  </property>
</Properties>
</file>