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工业化装配式混凝土建筑项目施工技术规程</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工业化装配式混凝土建筑项目施工技术规程</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工业化装配式混凝土建筑项目施工技术规程</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01B4759C">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国家大力发展装配式建筑和坚定推进“双碳”战略，工业化装配式混凝土建筑因其节能环保、高效优质的潜力已成为建筑业转型升级的重要方向。然而，在实际项目推广过程中，其绿色施工环节却面临显著挑战：一是缺乏专门针对装配式混凝土建筑特点的系统化绿色施工标准，现有通用规范难以有效覆盖其全链条管理需求；二是实践层面存在资源消耗与排放管控粗放、精细化施工不足等问题，绿色优势未能充分释放；三是行业尚未形成统一、可操作的绿色施工评价与监管体系，制约了产业绿色化水平的整体提升和规模化推广。</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编制本团体标准的核心意义在于填补关键空白，引领行业高质量发展。首先，它为工业化装配式混凝土项目提供了全生命周期的绿色施工技术框架与操作指南，明确“四节一环保”（节能、节地、节水、节材与环境保护）在构件制造、运输、吊装、连接等核心环节的具体要求，解决监管盲区和技术碎片化问题。其次，通过规范施工过程管理，能显著降低资源消耗和碳排放，最大化装配式建筑的固有环保效益，有力支撑建筑业绿色低碳转型。更重要的是，该标准将促进产业链上下游（设计、生产、施工）在绿色目标下高效协同，提升工程品质与效率，为政府监管、企业实践和行业认证提供统一依据，加速装配式建筑与绿色建造的深度融合与规模化应用</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工业化装配式混凝土建筑项目施工</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工业化装配式混凝土建筑项目施工</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工业化装配式混凝土建筑项目施工</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工业化装配式混凝土建筑项目施工</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工业化装配式混凝土建筑项目施工</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工业化装配式混凝土建筑项目施工技术规程</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工业化装配式混凝土建筑项目施工技术规程</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bookmarkStart w:id="11" w:name="_GoBack"/>
      <w:bookmarkEnd w:id="11"/>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8</w:t>
      </w:r>
      <w:r>
        <w:rPr>
          <w:rFonts w:ascii="Times New Roman" w:hAnsi="Times New Roman" w:cs="Times New Roman"/>
          <w:sz w:val="28"/>
          <w:szCs w:val="28"/>
        </w:rPr>
        <w:t>个部分，主要内容如下：</w:t>
      </w:r>
    </w:p>
    <w:p w14:paraId="3A0D23D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2523C7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本文件规定了工业化装配式混凝土建筑项目施工的术语和定义、施工准备、构件安装、节点施工、全质量管理、信息管理。</w:t>
      </w:r>
    </w:p>
    <w:p w14:paraId="68B759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本文件适用于工业化装配式混凝土建筑项目施工。</w:t>
      </w:r>
    </w:p>
    <w:p w14:paraId="5CE9CE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109150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1CF47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GB 50204 混凝土结构工程施工质量验收规范</w:t>
      </w:r>
    </w:p>
    <w:p w14:paraId="77ED01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JGJ 1 装配式混凝土结构技术规程</w:t>
      </w:r>
    </w:p>
    <w:p w14:paraId="5A4DF5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7BE0C4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78D540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280583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装配式建筑 prefabricated building</w:t>
      </w:r>
    </w:p>
    <w:p w14:paraId="7697E8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预制构件在工厂生产，现场装配构成的结构体系，分为全装配式与半装配式。</w:t>
      </w:r>
    </w:p>
    <w:p w14:paraId="3CB57F2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3.2　</w:t>
      </w:r>
    </w:p>
    <w:p w14:paraId="19DC7D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预制构件 prefabricated components</w:t>
      </w:r>
    </w:p>
    <w:p w14:paraId="3AB9DD3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在工厂中预先生产,符合设计要求的,线形或立体形混凝土构件。</w:t>
      </w:r>
    </w:p>
    <w:p w14:paraId="076778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施工准备</w:t>
      </w:r>
    </w:p>
    <w:p w14:paraId="2776FB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技术准备</w:t>
      </w:r>
    </w:p>
    <w:p w14:paraId="1AA0DB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施工单位应组织深化设计图纸联合审查，重点核对预制构件尺寸、连接节点构造、预埋件定位及设备管线预留孔洞的兼容性。</w:t>
      </w:r>
    </w:p>
    <w:p w14:paraId="280C19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施工前应编制专项施工方案，明确吊装工艺、支撑体系、节点施工流程及安全质量控制措施，并经技术负责人审批。</w:t>
      </w:r>
    </w:p>
    <w:p w14:paraId="734AD0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应实施分级技术交底：</w:t>
      </w:r>
    </w:p>
    <w:p w14:paraId="181C0C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项目总工应向施工管理人员交底方案关键技术；</w:t>
      </w:r>
    </w:p>
    <w:p w14:paraId="0705BD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施工员应向作业班组交底操作要点及验收标准。</w:t>
      </w:r>
    </w:p>
    <w:p w14:paraId="0230E1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4.1.4　宜采用建筑信息模型技术进行施工过程模拟，对复杂节点安装路径、临时支撑布置进行碰撞检测与优化。</w:t>
      </w:r>
    </w:p>
    <w:p w14:paraId="2846C0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4.1.5　应制定测量控制方案，确定平面控制网、高程基准点及构件安装定位复核方法，全站仪等设备应检定合格。</w:t>
      </w:r>
    </w:p>
    <w:p w14:paraId="3D516E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构件供应管理</w:t>
      </w:r>
    </w:p>
    <w:p w14:paraId="780C88E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应建立构件生产、运输与现场吊装的协同计划，明确分批进场时间、堆放区域及应急调配机制。</w:t>
      </w:r>
    </w:p>
    <w:p w14:paraId="13ECA4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预制构件出厂前，施工单位应参与联合验收，核查产品合格证、原材料检测报告、灌浆套筒工艺检验记录等文件。</w:t>
      </w:r>
    </w:p>
    <w:p w14:paraId="78720D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构件运输方案应规定车辆选型、装车固定方式、限高限速要求及运输路线勘察，避免运输损伤。</w:t>
      </w:r>
    </w:p>
    <w:p w14:paraId="4A7890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4.2.4　现场应设置专用堆放场地，场地地基承载力应满足要求，构件支垫高度不宜低于200 mm，多层堆放时支点位置应上下对齐。</w:t>
      </w:r>
    </w:p>
    <w:p w14:paraId="0E4A14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机具与材料准备</w:t>
      </w:r>
    </w:p>
    <w:p w14:paraId="4AF1BC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起重设备选型应核算构件最大起重量、吊装半径及高度，塔吊附墙件位置应与预制构件预埋件协调。</w:t>
      </w:r>
    </w:p>
    <w:p w14:paraId="36E3F2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应配备专用吊具：</w:t>
      </w:r>
    </w:p>
    <w:p w14:paraId="61E9CB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吊梁应具有调节平衡功能；</w:t>
      </w:r>
    </w:p>
    <w:p w14:paraId="6120853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吊钩宜配置防脱扣装置。</w:t>
      </w:r>
    </w:p>
    <w:p w14:paraId="37A3B6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临时支撑系统应满足强度和稳定性要求：</w:t>
      </w:r>
    </w:p>
    <w:p w14:paraId="1E8CAC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竖向构件斜撑承载力应覆盖最不利荷载工况；</w:t>
      </w:r>
    </w:p>
    <w:p w14:paraId="15C759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水平构件独立支撑间距应通过计算确定。</w:t>
      </w:r>
    </w:p>
    <w:p w14:paraId="1BAF58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4.3.4　灌浆料、座浆料等关键材料应提前28天进行工艺性试验，验证流动性、强度及施工适应性。</w:t>
      </w:r>
    </w:p>
    <w:p w14:paraId="30ECBD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现场布置</w:t>
      </w:r>
    </w:p>
    <w:p w14:paraId="0531AB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现场道路应硬化处理，转弯半径及承载力应满足构件运输车辆通行要求，宜设置循环通道避免堵塞。</w:t>
      </w:r>
    </w:p>
    <w:p w14:paraId="5D9EC3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构件堆场应分区管理，按吊装顺序分类存放，距安装位置不宜超过塔吊额定工作范围80%。</w:t>
      </w:r>
    </w:p>
    <w:p w14:paraId="2ED200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应规划灌浆料搅拌站、工具房等临时设施位置，减少二次搬运。</w:t>
      </w:r>
    </w:p>
    <w:p w14:paraId="49645A0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4.4.4　危险区域应设置隔离警示，高空作业操作平台及安全防护网应同步搭设。</w:t>
      </w:r>
    </w:p>
    <w:p w14:paraId="29DFB1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作业条件确认</w:t>
      </w:r>
    </w:p>
    <w:p w14:paraId="05A414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基础或下部结构应完成验收，预埋定位螺栓、垫片标高偏差不应大于3 mm。</w:t>
      </w:r>
    </w:p>
    <w:p w14:paraId="02ABAD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灌浆作业前应核查环境温度：</w:t>
      </w:r>
    </w:p>
    <w:p w14:paraId="0F379D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低于5 ℃时应采取加热保温措施；</w:t>
      </w:r>
    </w:p>
    <w:p w14:paraId="63B0F67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高于35 ℃时应避开高温时段施工。</w:t>
      </w:r>
    </w:p>
    <w:p w14:paraId="16EB29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首层首个构件安装应进行首件验收，验证测量放线、吊装工艺及临时固定有效性。</w:t>
      </w:r>
    </w:p>
    <w:p w14:paraId="56B2C5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信息化准备</w:t>
      </w:r>
    </w:p>
    <w:p w14:paraId="2348F5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应建立构件信息追溯系统，采用二维码或射频识别技术关联构件生产、运输及安装数据。</w:t>
      </w:r>
    </w:p>
    <w:p w14:paraId="40FFA6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宜部署施工管理平台，集成进度计划、质量验收记录及安全隐患排查信息。</w:t>
      </w:r>
    </w:p>
    <w:p w14:paraId="2A9671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构件安装</w:t>
      </w:r>
    </w:p>
    <w:p w14:paraId="6890DA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一般规定</w:t>
      </w:r>
    </w:p>
    <w:p w14:paraId="18151A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安装作业应遵循先竖向构件、后水平构件的顺序，特殊结构应编制专项吊装流程。</w:t>
      </w:r>
    </w:p>
    <w:p w14:paraId="7CADBF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吊装前应核查构件编号、外观质量及预埋件完整性，损伤超过允许值时应退场处理。</w:t>
      </w:r>
    </w:p>
    <w:p w14:paraId="308681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每日安装前应检查起重设备制动系统、吊索具磨损状况及临时支撑稳定性。</w:t>
      </w:r>
    </w:p>
    <w:p w14:paraId="332BA5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遇六级以上大风、大雨、大雾等恶劣天气应停止高空吊装作业。</w:t>
      </w:r>
    </w:p>
    <w:p w14:paraId="2C6972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竖向构件安装</w:t>
      </w:r>
    </w:p>
    <w:p w14:paraId="64593C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基层处理</w:t>
      </w:r>
    </w:p>
    <w:p w14:paraId="4E819B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安装面应清理浮浆、油污并湿润，坐浆料宜采用专用模具控制厚度，平整度偏差不应大于5 mm。</w:t>
      </w:r>
    </w:p>
    <w:p w14:paraId="5D333D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吊装就位</w:t>
      </w:r>
    </w:p>
    <w:p w14:paraId="11D489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吊点应设于设计指定位置，吊索水平夹角不宜小于60°，构件距安装面500 mm时应暂停，人工引导缓慢下落。</w:t>
      </w:r>
    </w:p>
    <w:p w14:paraId="21BA26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临时固定</w:t>
      </w:r>
    </w:p>
    <w:p w14:paraId="7D6E4F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就位后应立即安装可调式斜撑，每件墙体斜撑不应少于2道；柱构件应采用双向调节支撑，垂直度初调偏差不宜大于10 mm。</w:t>
      </w:r>
    </w:p>
    <w:p w14:paraId="0BFDE4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5.2.4　精度校核</w:t>
      </w:r>
    </w:p>
    <w:p w14:paraId="2640AB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采用全站仪校核轴线位置，激光铅直仪控制垂直度，终调偏差应符合下列要求：</w:t>
      </w:r>
    </w:p>
    <w:p w14:paraId="19F4ABF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轴线位移不应大于5 mm；</w:t>
      </w:r>
    </w:p>
    <w:p w14:paraId="5A7677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垂直度偏差不应大于H/1000且不大于20 mm（H为构件高度）。</w:t>
      </w:r>
    </w:p>
    <w:p w14:paraId="0DD72A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水平构件安装</w:t>
      </w:r>
    </w:p>
    <w:p w14:paraId="1280D5F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支撑系统搭设</w:t>
      </w:r>
    </w:p>
    <w:p w14:paraId="739DA7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叠合楼板独立支撑间距应通过计算确定，首层支撑地基应夯实处理；支撑顶托标高允许偏差为±3 mm。</w:t>
      </w:r>
    </w:p>
    <w:p w14:paraId="022BA3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吊装定位</w:t>
      </w:r>
    </w:p>
    <w:p w14:paraId="5F3724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叠合梁吊装时应保证两端支座长度均衡，楼板就位后与墙体间隙宜控制在15 mm~20 mm。</w:t>
      </w:r>
    </w:p>
    <w:p w14:paraId="6184AF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节点连接</w:t>
      </w:r>
    </w:p>
    <w:p w14:paraId="3A6098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叠合层预留钢筋与相邻构件钢筋应绑扎牢固，阳台板等悬挑构件应设置临时抗倾覆措施。</w:t>
      </w:r>
    </w:p>
    <w:p w14:paraId="26B484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特殊构件安装</w:t>
      </w:r>
    </w:p>
    <w:p w14:paraId="7656B0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大型预制楼梯宜采用翻转吊具，就位后应及时焊接固定预埋件。</w:t>
      </w:r>
    </w:p>
    <w:p w14:paraId="76B9CD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装饰一体化外墙板安装应同步校准装饰面平整度，接缝宽度宜保持一致。</w:t>
      </w:r>
    </w:p>
    <w:p w14:paraId="511F23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曲面构件应使用三维空间定位仪辅助调校，临时支撑点不应少于4处。</w:t>
      </w:r>
    </w:p>
    <w:p w14:paraId="32B1C8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安装精度控制</w:t>
      </w:r>
    </w:p>
    <w:p w14:paraId="695A91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每层构件安装后应进行整体复测，累积偏差应在上一楼层及时纠正。</w:t>
      </w:r>
    </w:p>
    <w:p w14:paraId="52849D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关键控制点应执行三检制度：</w:t>
      </w:r>
    </w:p>
    <w:p w14:paraId="449254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班组自检：记录初调数据；</w:t>
      </w:r>
    </w:p>
    <w:p w14:paraId="3CC67C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施工员复检：核查定位精度；</w:t>
      </w:r>
    </w:p>
    <w:p w14:paraId="25ADF7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质检员终检：形成验收记录。</w:t>
      </w:r>
    </w:p>
    <w:p w14:paraId="1DE975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宜采用信息化系统实时上传测量数据，生成三维精度分析报告。</w:t>
      </w:r>
    </w:p>
    <w:p w14:paraId="204E43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成品保护</w:t>
      </w:r>
    </w:p>
    <w:p w14:paraId="758D3E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构件外露钢筋应涂刷防锈涂层，灌浆套筒孔道应采取临时封堵措施。</w:t>
      </w:r>
    </w:p>
    <w:p w14:paraId="469F27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混凝土棱角宜加装护角条，通道口等易碰撞部位应设置隔离围挡。</w:t>
      </w:r>
    </w:p>
    <w:p w14:paraId="62A9AB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过程记录</w:t>
      </w:r>
    </w:p>
    <w:p w14:paraId="221724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每件构件安装应留存影像资料，记录吊装时间、操作人员及验收状态。</w:t>
      </w:r>
    </w:p>
    <w:p w14:paraId="6CEF54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安装偏差检测数据应及时录入项目管理平台，实现质量可追溯。</w:t>
      </w:r>
    </w:p>
    <w:p w14:paraId="348802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节点施工</w:t>
      </w:r>
    </w:p>
    <w:p w14:paraId="60D83EE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一般要求</w:t>
      </w:r>
    </w:p>
    <w:p w14:paraId="62F150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节点施工应在前序构件安装精度验收合格后进行，隐蔽工程应留存影像记录。</w:t>
      </w:r>
    </w:p>
    <w:p w14:paraId="5EB397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关键节点应制作工艺样板，经各方确认后实施大面积作业。</w:t>
      </w:r>
    </w:p>
    <w:p w14:paraId="2AD1EE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环境温度低于5 ℃或高于35 ℃时，应采取专项技术措施保障施工质量。</w:t>
      </w:r>
    </w:p>
    <w:p w14:paraId="52BD5C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灌浆套筒连接</w:t>
      </w:r>
    </w:p>
    <w:p w14:paraId="458701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材料与机具</w:t>
      </w:r>
    </w:p>
    <w:p w14:paraId="6740E2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6.2.1.1　应选用符合国家标准的专用灌浆料，进场时复验流动度、强度和膨胀率。</w:t>
      </w:r>
    </w:p>
    <w:p w14:paraId="3F434B8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6.2.1.2　电动灌浆泵压力范围宜为0.5 MPa~1.0 MPa，并配备专用灌浆枪及测堵工具。</w:t>
      </w:r>
    </w:p>
    <w:p w14:paraId="13B62C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孔道封堵</w:t>
      </w:r>
    </w:p>
    <w:p w14:paraId="4EE460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6.2.2.1　构件拼缝处应采用坐浆料或密封条封缝，24 h内不应扰动。</w:t>
      </w:r>
    </w:p>
    <w:p w14:paraId="2A4D26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6.2.2.2　灌浆孔、出浆孔应清理杂物并保持畅通。</w:t>
      </w:r>
    </w:p>
    <w:p w14:paraId="6CD1BA3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　灌浆作业</w:t>
      </w:r>
    </w:p>
    <w:p w14:paraId="44E214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6.2.3.1　浆料水胶比应严格按说明书控制，搅拌时间不宜少于3 min。</w:t>
      </w:r>
    </w:p>
    <w:p w14:paraId="304576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6.2.3.2　灌浆应从最低处孔洞注入，待高位出浆孔连续流出浆体后逐个封堵。</w:t>
      </w:r>
    </w:p>
    <w:p w14:paraId="73DA78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6.2.3.3　竖向构件灌浆应自下而上单孔连续作业，中断时间不宜超过20 min。</w:t>
      </w:r>
    </w:p>
    <w:p w14:paraId="1F4D68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　过程控制</w:t>
      </w:r>
    </w:p>
    <w:p w14:paraId="77A11C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6.2.4.1　灌浆料初始流动度不应小于300 mm，30 min保留值不应小于260 mm。</w:t>
      </w:r>
    </w:p>
    <w:p w14:paraId="7AC952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6.2.4.2　灌浆完成后24 h内构件不应受到振动或荷载作用。</w:t>
      </w:r>
    </w:p>
    <w:p w14:paraId="185DC71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6.2.5　养护与检验</w:t>
      </w:r>
    </w:p>
    <w:p w14:paraId="60AC90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6.2.5.1　环境温度高于30 ℃时，灌浆部位应覆盖湿麻袋养护。</w:t>
      </w:r>
    </w:p>
    <w:p w14:paraId="5726FC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6.2.5.2　每工作班应制作不少于3组试件检验28d强度。</w:t>
      </w:r>
    </w:p>
    <w:p w14:paraId="0DC319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6.2.5.3　可采用内窥镜或超声波抽查套筒内灌浆饱满度。</w:t>
      </w:r>
    </w:p>
    <w:p w14:paraId="10BDA1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后浇混凝土节点</w:t>
      </w:r>
    </w:p>
    <w:p w14:paraId="55EC4B0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界面处理</w:t>
      </w:r>
    </w:p>
    <w:p w14:paraId="650863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6.3.1.1　构件结合面应凿毛处理，露骨料面积不应小于80%。</w:t>
      </w:r>
    </w:p>
    <w:p w14:paraId="0DD66D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6.3.1.2　浇筑前应清除浮灰并喷水湿润，但不应有明水积存。</w:t>
      </w:r>
    </w:p>
    <w:p w14:paraId="76354E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钢筋绑扎</w:t>
      </w:r>
    </w:p>
    <w:p w14:paraId="7620D2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6.3.2.1　后浇区预留钢筋与预制构件钢筋应采用机械连接或焊接。</w:t>
      </w:r>
    </w:p>
    <w:p w14:paraId="6445D4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6.3.2.2　钢筋定位偏差不应大于5 mm，保护层厚度宜增加2 mm。</w:t>
      </w:r>
    </w:p>
    <w:p w14:paraId="65F354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　混凝土浇筑</w:t>
      </w:r>
    </w:p>
    <w:p w14:paraId="430567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6.3.3.1　宜采用自密实混凝土或微膨胀混凝土，粗骨料粒径不应大于20 mm。</w:t>
      </w:r>
    </w:p>
    <w:p w14:paraId="417147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6.3.3.2　分层浇筑厚度不宜超过500 mm，振捣应避开预埋管线。</w:t>
      </w:r>
    </w:p>
    <w:p w14:paraId="31C7D6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6.3.3.3　梁柱节点核心区应先行浇筑，强度等级宜提高一级。</w:t>
      </w:r>
    </w:p>
    <w:p w14:paraId="5A88E4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　养护措施</w:t>
      </w:r>
    </w:p>
    <w:p w14:paraId="50C4DE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6.3.4.1　终凝后应立即覆盖塑料薄膜保水养护，时间不应少于14d。</w:t>
      </w:r>
    </w:p>
    <w:p w14:paraId="2B8B52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6.3.4.2　冬季施工应采取加热养护，升温速率不宜大于10 ℃/h。</w:t>
      </w:r>
    </w:p>
    <w:p w14:paraId="1AF2DF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接缝密封防水</w:t>
      </w:r>
    </w:p>
    <w:p w14:paraId="72732C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基层清理</w:t>
      </w:r>
    </w:p>
    <w:p w14:paraId="476F95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密封施工前应用压缩空气吹净缝内灰尘，油污处应采用溶剂擦拭。</w:t>
      </w:r>
    </w:p>
    <w:p w14:paraId="1EC512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背衬填充</w:t>
      </w:r>
    </w:p>
    <w:p w14:paraId="09695B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6.4.2.1　缝深超过30 mm时，应设置闭孔泡沫塑料背衬条。</w:t>
      </w:r>
    </w:p>
    <w:p w14:paraId="29DA896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6.4.2.2　背衬条直径宜为缝宽的1.2~1.5倍，压实后距表面5 mm~8 mm。</w:t>
      </w:r>
    </w:p>
    <w:p w14:paraId="3FD65B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密封胶施工</w:t>
      </w:r>
    </w:p>
    <w:p w14:paraId="1D7BA6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6.4.3.1　应选用硅酮或聚氨酯类耐候密封胶，与混凝土粘结性试验合格。</w:t>
      </w:r>
    </w:p>
    <w:p w14:paraId="2BB21A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6.4.3.2　注胶应连续均匀，填充饱满度不应低于90%。</w:t>
      </w:r>
    </w:p>
    <w:p w14:paraId="6AA373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6.4.3.3　胶缝表面宜修整为凹弧形，养护期内避免淋雨。</w:t>
      </w:r>
    </w:p>
    <w:p w14:paraId="1B942F4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6.4.4　附加防水层</w:t>
      </w:r>
    </w:p>
    <w:p w14:paraId="1EE68E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外墙水平缝宜增设聚合物水泥防水涂料，涂刷宽度不应小于150mm。</w:t>
      </w:r>
    </w:p>
    <w:p w14:paraId="0E026B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其他节点工艺</w:t>
      </w:r>
    </w:p>
    <w:p w14:paraId="0DE7C8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螺栓连接节点</w:t>
      </w:r>
    </w:p>
    <w:p w14:paraId="100B19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高强螺栓初拧扭矩应为终拧值的50%，终拧应在24 h内完成，终拧后螺栓外露丝扣不应少于2扣。</w:t>
      </w:r>
    </w:p>
    <w:p w14:paraId="14ED601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预应力节点</w:t>
      </w:r>
    </w:p>
    <w:p w14:paraId="718C8D3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张拉顺序应符合设计规定，分级加载速率不宜大于0.15σcon/min。</w:t>
      </w:r>
    </w:p>
    <w:p w14:paraId="3812C4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钢结构混合节点</w:t>
      </w:r>
    </w:p>
    <w:p w14:paraId="4303D2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构件焊接后应进行焊缝探伤，冷却至环境温度前不应受外力冲击。</w:t>
      </w:r>
    </w:p>
    <w:p w14:paraId="04B3BF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质量验收</w:t>
      </w:r>
    </w:p>
    <w:p w14:paraId="7EB462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灌浆套筒连接应按批次抽查灌浆密实度，重要结构部位应全数检测。</w:t>
      </w:r>
    </w:p>
    <w:p w14:paraId="692A5B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后浇混凝土拆模后应检查表面裂缝，裂缝宽度大于0.2 mm应处理。</w:t>
      </w:r>
    </w:p>
    <w:p w14:paraId="18FED8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　密封胶与基层剥离强度不应小于0.5 MPa，淋水试验持续2 h无渗漏。</w:t>
      </w:r>
    </w:p>
    <w:p w14:paraId="03CAFD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6.6.4　质量验收应符合GB 50204、JGJ 1的有关规定。</w:t>
      </w:r>
    </w:p>
    <w:p w14:paraId="1D6EC7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全质量管理</w:t>
      </w:r>
    </w:p>
    <w:p w14:paraId="3DFB42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安全管理体系</w:t>
      </w:r>
    </w:p>
    <w:p w14:paraId="6B22B4D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施工单位应建立分级安全责任制，项目经理为第一责任人，专职安全员数量不应少于总人数的3‰。</w:t>
      </w:r>
    </w:p>
    <w:p w14:paraId="2D8038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应编制专项应急预案，覆盖构件倾覆、高空坠落、机械伤害等重大风险，每季度组织实战演练。</w:t>
      </w:r>
    </w:p>
    <w:p w14:paraId="2B0D20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超限构件吊装、大型设备安拆等危险作业应实施审批许可制度。</w:t>
      </w:r>
    </w:p>
    <w:p w14:paraId="31A0A0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吊装作业安全</w:t>
      </w:r>
    </w:p>
    <w:p w14:paraId="7A4B77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人员管控</w:t>
      </w:r>
    </w:p>
    <w:p w14:paraId="3C3243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7.2.1.1　吊装指挥人员应持特种作业证上岗，吊装区域设置硬质隔离。</w:t>
      </w:r>
    </w:p>
    <w:p w14:paraId="6F49063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7.2.1.2　高空作业人员应佩戴双钩安全带，生命线固定点应独立于临时支撑。</w:t>
      </w:r>
    </w:p>
    <w:p w14:paraId="5F8074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机具管理</w:t>
      </w:r>
    </w:p>
    <w:p w14:paraId="5E022A8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7.2.2.1　塔吊力矩限制器、吊钩保险装置应每日点检。</w:t>
      </w:r>
    </w:p>
    <w:p w14:paraId="1426DA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7.2.2.2　吊索具破断拉力安全系数不应小于6，断丝超标应立即更换。</w:t>
      </w:r>
    </w:p>
    <w:p w14:paraId="3194AA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环境控制</w:t>
      </w:r>
    </w:p>
    <w:p w14:paraId="2F698C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构件起吊前应监测风速，超过12 m/s时应中止作业。</w:t>
      </w:r>
    </w:p>
    <w:p w14:paraId="7F3D51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节点施工质量</w:t>
      </w:r>
    </w:p>
    <w:p w14:paraId="6E7A9F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灌浆质量保障</w:t>
      </w:r>
    </w:p>
    <w:p w14:paraId="715109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灌浆操作人员应经专业培训，灌浆压力实时监测记录，套筒连接节点应全数留存灌浆过程视频影像。</w:t>
      </w:r>
    </w:p>
    <w:p w14:paraId="4CDA33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后浇区控制</w:t>
      </w:r>
    </w:p>
    <w:p w14:paraId="69EB37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核心区混凝土浇筑应使用塌落度检测仪动态监控流动性，拆模强度应通过同条件试块判定，不宜低于设计强度75%。</w:t>
      </w:r>
    </w:p>
    <w:p w14:paraId="7FC561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密封防渗漏</w:t>
      </w:r>
    </w:p>
    <w:p w14:paraId="524A20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外墙接缝淋水试验应按每三层抽检，单次淋水持续时间不应少于2 h。</w:t>
      </w:r>
    </w:p>
    <w:p w14:paraId="00C24E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成品质量控制</w:t>
      </w:r>
    </w:p>
    <w:p w14:paraId="3954BA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尺寸偏差管理</w:t>
      </w:r>
    </w:p>
    <w:p w14:paraId="027B00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每层结构完成后应进行三维扫描复核，累积偏差超过允许值50%时启动纠偏程序，装饰面砖预制外墙板表面平整度偏差不应大于3 mm。</w:t>
      </w:r>
    </w:p>
    <w:p w14:paraId="43BDB1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缺陷修复</w:t>
      </w:r>
    </w:p>
    <w:p w14:paraId="5F5E30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混凝土裂缝宽度大于0.1 mm时应采用环氧树脂注浆修补，钢筋锈蚀面积超过5%应进行阻锈处理。</w:t>
      </w:r>
    </w:p>
    <w:p w14:paraId="3B654F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过程监测与验收</w:t>
      </w:r>
    </w:p>
    <w:p w14:paraId="38B5AA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应实施质量追溯管理：</w:t>
      </w:r>
    </w:p>
    <w:p w14:paraId="2C5BBD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预制构件二维码信息应关联材料批次、工艺参数；</w:t>
      </w:r>
    </w:p>
    <w:p w14:paraId="567B39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灌浆料试块应标注工程部位及灌浆日期。</w:t>
      </w:r>
    </w:p>
    <w:p w14:paraId="506811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隐蔽工程验收应执行会签制度：</w:t>
      </w:r>
    </w:p>
    <w:p w14:paraId="437828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灌浆套筒节点应经监理旁站确认；</w:t>
      </w:r>
    </w:p>
    <w:p w14:paraId="73C4CA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后浇区钢筋隐蔽前应进行三维扫描存档。</w:t>
      </w:r>
    </w:p>
    <w:p w14:paraId="5F94BD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　分部工程验收应包含：</w:t>
      </w:r>
    </w:p>
    <w:p w14:paraId="6828AF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构件安装精度统计分析报告；</w:t>
      </w:r>
    </w:p>
    <w:p w14:paraId="7BEA15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节点抗拔/抗剪性能抽检记录；</w:t>
      </w:r>
    </w:p>
    <w:p w14:paraId="5E35E9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结构实体回弹强度评估数据。</w:t>
      </w:r>
    </w:p>
    <w:p w14:paraId="554763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绿色施工管理</w:t>
      </w:r>
    </w:p>
    <w:p w14:paraId="2EB51BA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应控制装配施工污染：</w:t>
      </w:r>
    </w:p>
    <w:p w14:paraId="74F3A3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灌浆废料应集中回收处理，不应直接排入市政管网；</w:t>
      </w:r>
    </w:p>
    <w:p w14:paraId="41D8FA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切割粉尘应采用湿法作业或负压收集装置。</w:t>
      </w:r>
    </w:p>
    <w:p w14:paraId="3C10F3B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宜推广节材措施：</w:t>
      </w:r>
    </w:p>
    <w:p w14:paraId="7162EDC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临时支撑系统采用标准化可调式钢构件；</w:t>
      </w:r>
    </w:p>
    <w:p w14:paraId="7B47CE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预制楼梯防护采用可周转金属罩盖。</w:t>
      </w:r>
    </w:p>
    <w:p w14:paraId="0CB765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信息管理</w:t>
      </w:r>
    </w:p>
    <w:p w14:paraId="72C223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管理体系</w:t>
      </w:r>
    </w:p>
    <w:p w14:paraId="1CC9B2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应建立覆盖设计、生产、施工全流程的协同管理平台，实现数据互联互通。</w:t>
      </w:r>
    </w:p>
    <w:p w14:paraId="00CA18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项目经理部应配备专职信息管理员，负责系统维护与数据核验。</w:t>
      </w:r>
    </w:p>
    <w:p w14:paraId="641EA3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平台数据存储期限不应少于工程竣工验收后10年。</w:t>
      </w:r>
    </w:p>
    <w:p w14:paraId="067785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基础数据管理</w:t>
      </w:r>
    </w:p>
    <w:p w14:paraId="324729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构件信息库</w:t>
      </w:r>
    </w:p>
    <w:p w14:paraId="6F0936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8.2.1.1　预制构件应绑定唯一识别码，关联几何尺寸、材料强度、预埋件定位等参数。</w:t>
      </w:r>
    </w:p>
    <w:p w14:paraId="4F8A6A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8.2.1.2　进场验收数据宜通过移动终端实时上传，包括外观缺陷记录、尺寸复测结果。</w:t>
      </w:r>
    </w:p>
    <w:p w14:paraId="0C1F66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过程数据采集</w:t>
      </w:r>
    </w:p>
    <w:p w14:paraId="2BBB5B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8.2.2.1　吊装工序应记录时间节点、操作人员及定位偏差值。</w:t>
      </w:r>
    </w:p>
    <w:p w14:paraId="4DBA9D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8.2.2.2　灌浆施工应上传压力曲线、浆料批号及环境温湿度。</w:t>
      </w:r>
    </w:p>
    <w:p w14:paraId="0B40BF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BIM技术应用</w:t>
      </w:r>
    </w:p>
    <w:p w14:paraId="4E00A6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施工前应基于BIM模型进行碰撞检查，优化节点构造与管线排布。</w:t>
      </w:r>
    </w:p>
    <w:p w14:paraId="0A059A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现场宜采用移动端轻量化模型辅助构件定位，安装偏差超过预警值时自动报警。</w:t>
      </w:r>
    </w:p>
    <w:p w14:paraId="13F4A3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关键节点施工工艺应通过BIM动画进行可视化交底。</w:t>
      </w:r>
    </w:p>
    <w:p w14:paraId="2B21A1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质量追溯管理</w:t>
      </w:r>
    </w:p>
    <w:p w14:paraId="443F12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材料追溯</w:t>
      </w:r>
    </w:p>
    <w:p w14:paraId="42B3FE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钢筋、灌浆料等主材应扫描二维码查验生产许可证、检测报告及使用部位。</w:t>
      </w:r>
    </w:p>
    <w:p w14:paraId="0E44BDB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工艺追溯</w:t>
      </w:r>
    </w:p>
    <w:p w14:paraId="7E2E40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灌浆套筒连接应关联灌浆视频、压力监测记录及饱满度检测报告，后浇混凝土应记录浇筑时间、养护周期及强度发展曲线。</w:t>
      </w:r>
    </w:p>
    <w:p w14:paraId="4F7EFB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问题溯源</w:t>
      </w:r>
    </w:p>
    <w:p w14:paraId="557F76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质量缺陷处理过程应形成电子档案，标注原因分析及纠正措施。</w:t>
      </w:r>
    </w:p>
    <w:p w14:paraId="15FBD0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进度与资源协同</w:t>
      </w:r>
    </w:p>
    <w:p w14:paraId="78706C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应通过平台监控构件运输、堆存及安装进度，动态调整施工计划。</w:t>
      </w:r>
    </w:p>
    <w:p w14:paraId="0C0DE0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大型机械设备使用状态宜实时共享，提高塔吊、泵车等设备利用率。</w:t>
      </w:r>
    </w:p>
    <w:p w14:paraId="0B7737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8.5.3　劳动力配置应根据工序大数据分析优化，关键岗位人员资质信息需备案。</w:t>
      </w:r>
    </w:p>
    <w:p w14:paraId="778D87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　决策支持分析</w:t>
      </w:r>
    </w:p>
    <w:p w14:paraId="0BA663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8.6.1　平台应自动生成安装精度热力图，识别累计偏差高风险区域。</w:t>
      </w:r>
    </w:p>
    <w:p w14:paraId="0947E6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8.6.2　宜建立质量缺陷预警模型，对灌浆不饱满、裂缝超限等情形自动推送整改指令。</w:t>
      </w:r>
    </w:p>
    <w:p w14:paraId="329701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8.6.3　每月应输出资源消耗对比报告，指导节材降耗措施优化。</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工业化装配式混凝土建筑项目施工</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90809545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sN7udEAAAADAQAADwAAAAAAAAABACAAAAAiAAAAZHJzL2Rvd25y&#10;ZXYueG1sUEsBAhQAFAAAAAgAh07iQD4ZYZsFAgAADAQAAA4AAAAAAAAAAQAgAAAAIAEAAGRycy9l&#10;Mm9Eb2MueG1sUEsFBgAAAAAGAAYAWQEAAJcFA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44023"/>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43F05"/>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0BD8"/>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5A29"/>
    <w:rsid w:val="00D06630"/>
    <w:rsid w:val="00D237D4"/>
    <w:rsid w:val="00D311EA"/>
    <w:rsid w:val="00D77694"/>
    <w:rsid w:val="00D80910"/>
    <w:rsid w:val="00D81489"/>
    <w:rsid w:val="00D837B2"/>
    <w:rsid w:val="00DB46BB"/>
    <w:rsid w:val="00DB5CCC"/>
    <w:rsid w:val="00DC5A65"/>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CAF467D"/>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6905</Words>
  <Characters>7778</Characters>
  <Lines>566</Lines>
  <Paragraphs>498</Paragraphs>
  <TotalTime>2</TotalTime>
  <ScaleCrop>false</ScaleCrop>
  <LinksUpToDate>false</LinksUpToDate>
  <CharactersWithSpaces>8070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2025-07-28T06:16:00Z</dcterms:created>
  <dc:creator>yao jiang</dc:creator>
  <cp:lastModifiedBy>Shimmer</cp:lastModifiedBy>
  <dcterms:modified xsi:type="dcterms:W3CDTF">2025-12-15T08:40:43Z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