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A133A5">
      <w:pPr>
        <w:adjustRightInd w:val="0"/>
        <w:snapToGrid w:val="0"/>
        <w:spacing w:line="360" w:lineRule="auto"/>
        <w:jc w:val="center"/>
        <w:rPr>
          <w:rFonts w:ascii="Times New Roman" w:hAnsi="Times New Roman" w:eastAsia="黑体" w:cs="Times New Roman"/>
          <w:b/>
          <w:sz w:val="48"/>
          <w:szCs w:val="48"/>
        </w:rPr>
      </w:pPr>
    </w:p>
    <w:p w14:paraId="1947105E">
      <w:pPr>
        <w:adjustRightInd w:val="0"/>
        <w:snapToGrid w:val="0"/>
        <w:spacing w:line="360" w:lineRule="auto"/>
        <w:jc w:val="center"/>
        <w:rPr>
          <w:rFonts w:ascii="Times New Roman" w:hAnsi="Times New Roman" w:eastAsia="黑体" w:cs="Times New Roman"/>
          <w:b/>
          <w:sz w:val="48"/>
          <w:szCs w:val="48"/>
        </w:rPr>
      </w:pPr>
      <w:r>
        <w:rPr>
          <w:rFonts w:ascii="Times New Roman" w:hAnsi="Times New Roman" w:eastAsia="黑体" w:cs="Times New Roman"/>
          <w:b/>
          <w:sz w:val="48"/>
          <w:szCs w:val="48"/>
        </w:rPr>
        <w:t>团 体 标 准</w:t>
      </w:r>
    </w:p>
    <w:p w14:paraId="564BAE4E">
      <w:pPr>
        <w:adjustRightInd w:val="0"/>
        <w:snapToGrid w:val="0"/>
        <w:spacing w:line="360" w:lineRule="auto"/>
        <w:jc w:val="center"/>
        <w:rPr>
          <w:rFonts w:ascii="Times New Roman" w:hAnsi="Times New Roman" w:eastAsia="黑体" w:cs="Times New Roman"/>
          <w:b/>
          <w:sz w:val="48"/>
          <w:szCs w:val="48"/>
        </w:rPr>
      </w:pPr>
    </w:p>
    <w:p w14:paraId="306ABD1B">
      <w:pPr>
        <w:adjustRightInd w:val="0"/>
        <w:snapToGrid w:val="0"/>
        <w:spacing w:line="360" w:lineRule="auto"/>
        <w:jc w:val="center"/>
        <w:rPr>
          <w:rFonts w:ascii="Times New Roman" w:hAnsi="Times New Roman" w:eastAsia="黑体" w:cs="Times New Roman"/>
          <w:b/>
          <w:sz w:val="52"/>
          <w:szCs w:val="52"/>
        </w:rPr>
      </w:pPr>
      <w:r>
        <w:rPr>
          <w:rFonts w:ascii="Times New Roman" w:hAnsi="Times New Roman" w:eastAsia="黑体" w:cs="Times New Roman"/>
          <w:b/>
          <w:sz w:val="52"/>
          <w:szCs w:val="52"/>
        </w:rPr>
        <w:t>产品碳足迹评价规范 刹车盘盖板</w:t>
      </w:r>
    </w:p>
    <w:p w14:paraId="09E57553">
      <w:pPr>
        <w:adjustRightInd w:val="0"/>
        <w:snapToGrid w:val="0"/>
        <w:spacing w:line="360" w:lineRule="auto"/>
        <w:jc w:val="center"/>
        <w:rPr>
          <w:rFonts w:ascii="Times New Roman" w:hAnsi="Times New Roman" w:eastAsia="黑体" w:cs="Times New Roman"/>
          <w:b/>
          <w:sz w:val="52"/>
          <w:szCs w:val="52"/>
        </w:rPr>
      </w:pPr>
    </w:p>
    <w:p w14:paraId="42D2B3B0">
      <w:pPr>
        <w:spacing w:line="480" w:lineRule="auto"/>
        <w:jc w:val="center"/>
        <w:rPr>
          <w:rFonts w:ascii="Times New Roman" w:hAnsi="Times New Roman" w:eastAsia="黑体" w:cs="Times New Roman"/>
          <w:b/>
          <w:sz w:val="52"/>
          <w:szCs w:val="52"/>
        </w:rPr>
      </w:pPr>
      <w:r>
        <w:rPr>
          <w:rFonts w:ascii="Times New Roman" w:hAnsi="Times New Roman" w:eastAsia="黑体" w:cs="Times New Roman"/>
          <w:b/>
          <w:sz w:val="52"/>
          <w:szCs w:val="52"/>
        </w:rPr>
        <w:t>编 制 说 明</w:t>
      </w:r>
    </w:p>
    <w:p w14:paraId="28444C2B">
      <w:pPr>
        <w:adjustRightInd w:val="0"/>
        <w:snapToGrid w:val="0"/>
        <w:spacing w:line="360" w:lineRule="auto"/>
        <w:rPr>
          <w:rFonts w:ascii="Times New Roman" w:hAnsi="Times New Roman" w:eastAsia="仿宋" w:cs="Times New Roman"/>
          <w:b/>
          <w:sz w:val="24"/>
          <w:szCs w:val="24"/>
        </w:rPr>
      </w:pPr>
    </w:p>
    <w:p w14:paraId="5F2AD04E">
      <w:pPr>
        <w:adjustRightInd w:val="0"/>
        <w:snapToGrid w:val="0"/>
        <w:spacing w:line="360" w:lineRule="auto"/>
        <w:rPr>
          <w:rFonts w:ascii="Times New Roman" w:hAnsi="Times New Roman" w:eastAsia="仿宋" w:cs="Times New Roman"/>
          <w:b/>
          <w:sz w:val="24"/>
          <w:szCs w:val="24"/>
        </w:rPr>
      </w:pPr>
    </w:p>
    <w:p w14:paraId="08863381">
      <w:pPr>
        <w:adjustRightInd w:val="0"/>
        <w:snapToGrid w:val="0"/>
        <w:spacing w:line="360" w:lineRule="auto"/>
        <w:rPr>
          <w:rFonts w:ascii="Times New Roman" w:hAnsi="Times New Roman" w:eastAsia="仿宋" w:cs="Times New Roman"/>
          <w:b/>
          <w:sz w:val="24"/>
          <w:szCs w:val="24"/>
        </w:rPr>
      </w:pPr>
    </w:p>
    <w:p w14:paraId="1F72964F">
      <w:pPr>
        <w:adjustRightInd w:val="0"/>
        <w:snapToGrid w:val="0"/>
        <w:spacing w:line="360" w:lineRule="auto"/>
        <w:rPr>
          <w:rFonts w:ascii="Times New Roman" w:hAnsi="Times New Roman" w:eastAsia="仿宋" w:cs="Times New Roman"/>
          <w:b/>
          <w:sz w:val="24"/>
          <w:szCs w:val="24"/>
        </w:rPr>
      </w:pPr>
    </w:p>
    <w:p w14:paraId="09FD2241">
      <w:pPr>
        <w:adjustRightInd w:val="0"/>
        <w:snapToGrid w:val="0"/>
        <w:spacing w:line="360" w:lineRule="auto"/>
        <w:rPr>
          <w:rFonts w:ascii="Times New Roman" w:hAnsi="Times New Roman" w:eastAsia="仿宋" w:cs="Times New Roman"/>
          <w:b/>
          <w:sz w:val="24"/>
          <w:szCs w:val="24"/>
        </w:rPr>
      </w:pPr>
    </w:p>
    <w:p w14:paraId="4F17CB03">
      <w:pPr>
        <w:adjustRightInd w:val="0"/>
        <w:snapToGrid w:val="0"/>
        <w:spacing w:line="360" w:lineRule="auto"/>
        <w:rPr>
          <w:rFonts w:ascii="Times New Roman" w:hAnsi="Times New Roman" w:eastAsia="仿宋" w:cs="Times New Roman"/>
          <w:b/>
          <w:sz w:val="24"/>
          <w:szCs w:val="24"/>
        </w:rPr>
      </w:pPr>
    </w:p>
    <w:p w14:paraId="5ED42328">
      <w:pPr>
        <w:adjustRightInd w:val="0"/>
        <w:snapToGrid w:val="0"/>
        <w:spacing w:line="360" w:lineRule="auto"/>
        <w:rPr>
          <w:rFonts w:ascii="Times New Roman" w:hAnsi="Times New Roman" w:eastAsia="仿宋" w:cs="Times New Roman"/>
          <w:b/>
          <w:sz w:val="24"/>
          <w:szCs w:val="24"/>
        </w:rPr>
      </w:pPr>
    </w:p>
    <w:p w14:paraId="0B55930C">
      <w:pPr>
        <w:adjustRightInd w:val="0"/>
        <w:snapToGrid w:val="0"/>
        <w:spacing w:line="360" w:lineRule="auto"/>
        <w:rPr>
          <w:rFonts w:ascii="Times New Roman" w:hAnsi="Times New Roman" w:eastAsia="仿宋" w:cs="Times New Roman"/>
          <w:b/>
          <w:sz w:val="24"/>
          <w:szCs w:val="24"/>
        </w:rPr>
      </w:pPr>
    </w:p>
    <w:p w14:paraId="6CF6DAD8">
      <w:pPr>
        <w:adjustRightInd w:val="0"/>
        <w:snapToGrid w:val="0"/>
        <w:spacing w:line="360" w:lineRule="auto"/>
        <w:rPr>
          <w:rFonts w:ascii="Times New Roman" w:hAnsi="Times New Roman" w:eastAsia="仿宋" w:cs="Times New Roman"/>
          <w:b/>
          <w:sz w:val="24"/>
          <w:szCs w:val="24"/>
        </w:rPr>
      </w:pPr>
    </w:p>
    <w:p w14:paraId="5536861B">
      <w:pPr>
        <w:adjustRightInd w:val="0"/>
        <w:snapToGrid w:val="0"/>
        <w:spacing w:line="360" w:lineRule="auto"/>
        <w:rPr>
          <w:rFonts w:ascii="Times New Roman" w:hAnsi="Times New Roman" w:eastAsia="仿宋" w:cs="Times New Roman"/>
          <w:b/>
          <w:sz w:val="24"/>
          <w:szCs w:val="24"/>
        </w:rPr>
      </w:pPr>
    </w:p>
    <w:p w14:paraId="27C39A8B">
      <w:pPr>
        <w:adjustRightInd w:val="0"/>
        <w:snapToGrid w:val="0"/>
        <w:spacing w:line="360" w:lineRule="auto"/>
        <w:rPr>
          <w:rFonts w:ascii="Times New Roman" w:hAnsi="Times New Roman" w:eastAsia="仿宋" w:cs="Times New Roman"/>
          <w:b/>
          <w:sz w:val="24"/>
          <w:szCs w:val="24"/>
        </w:rPr>
      </w:pPr>
    </w:p>
    <w:p w14:paraId="160C8D15">
      <w:pPr>
        <w:adjustRightInd w:val="0"/>
        <w:snapToGrid w:val="0"/>
        <w:spacing w:line="360" w:lineRule="auto"/>
        <w:rPr>
          <w:rFonts w:ascii="Times New Roman" w:hAnsi="Times New Roman" w:eastAsia="仿宋" w:cs="Times New Roman"/>
          <w:b/>
          <w:sz w:val="24"/>
          <w:szCs w:val="24"/>
        </w:rPr>
      </w:pPr>
    </w:p>
    <w:p w14:paraId="7A8D1626">
      <w:pPr>
        <w:spacing w:line="480" w:lineRule="auto"/>
        <w:jc w:val="center"/>
        <w:rPr>
          <w:rFonts w:ascii="Times New Roman" w:hAnsi="Times New Roman" w:eastAsia="楷体_GB2312" w:cs="Times New Roman"/>
          <w:b/>
          <w:sz w:val="36"/>
          <w:szCs w:val="36"/>
        </w:rPr>
      </w:pPr>
      <w:r>
        <w:rPr>
          <w:rFonts w:ascii="Times New Roman" w:hAnsi="Times New Roman" w:eastAsia="楷体_GB2312" w:cs="Times New Roman"/>
          <w:b/>
          <w:sz w:val="36"/>
          <w:szCs w:val="36"/>
        </w:rPr>
        <w:t>《产品碳足迹评价规范 刹车盘盖板》小组</w:t>
      </w:r>
    </w:p>
    <w:p w14:paraId="1197A080">
      <w:pPr>
        <w:spacing w:line="360" w:lineRule="auto"/>
        <w:jc w:val="center"/>
        <w:rPr>
          <w:rFonts w:ascii="Times New Roman" w:hAnsi="Times New Roman" w:eastAsia="楷体_GB2312" w:cs="Times New Roman"/>
          <w:b/>
          <w:sz w:val="36"/>
          <w:szCs w:val="36"/>
        </w:rPr>
      </w:pPr>
      <w:r>
        <w:rPr>
          <w:rFonts w:ascii="Times New Roman" w:hAnsi="Times New Roman" w:eastAsia="楷体_GB2312" w:cs="Times New Roman"/>
          <w:b/>
          <w:sz w:val="36"/>
          <w:szCs w:val="36"/>
        </w:rPr>
        <w:t>二</w:t>
      </w:r>
      <w:r>
        <w:rPr>
          <w:rFonts w:hint="eastAsia" w:ascii="Times New Roman" w:hAnsi="Times New Roman" w:eastAsia="楷体_GB2312" w:cs="Times New Roman"/>
          <w:b/>
          <w:sz w:val="36"/>
          <w:szCs w:val="36"/>
        </w:rPr>
        <w:t>〇</w:t>
      </w:r>
      <w:r>
        <w:rPr>
          <w:rFonts w:ascii="Times New Roman" w:hAnsi="Times New Roman" w:eastAsia="楷体_GB2312" w:cs="Times New Roman"/>
          <w:b/>
          <w:sz w:val="36"/>
          <w:szCs w:val="36"/>
        </w:rPr>
        <w:t>二</w:t>
      </w:r>
      <w:r>
        <w:rPr>
          <w:rFonts w:hint="eastAsia" w:ascii="Times New Roman" w:hAnsi="Times New Roman" w:eastAsia="楷体_GB2312" w:cs="Times New Roman"/>
          <w:b/>
          <w:sz w:val="36"/>
          <w:szCs w:val="36"/>
        </w:rPr>
        <w:t>五</w:t>
      </w:r>
      <w:r>
        <w:rPr>
          <w:rFonts w:ascii="Times New Roman" w:hAnsi="Times New Roman" w:eastAsia="楷体_GB2312" w:cs="Times New Roman"/>
          <w:b/>
          <w:sz w:val="36"/>
          <w:szCs w:val="36"/>
        </w:rPr>
        <w:t>年</w:t>
      </w:r>
      <w:r>
        <w:rPr>
          <w:rFonts w:hint="eastAsia" w:ascii="Times New Roman" w:hAnsi="Times New Roman" w:eastAsia="楷体_GB2312" w:cs="Times New Roman"/>
          <w:b/>
          <w:sz w:val="36"/>
          <w:szCs w:val="36"/>
        </w:rPr>
        <w:t>十</w:t>
      </w:r>
      <w:r>
        <w:rPr>
          <w:rFonts w:hint="eastAsia" w:ascii="Times New Roman" w:hAnsi="Times New Roman" w:eastAsia="楷体_GB2312" w:cs="Times New Roman"/>
          <w:b/>
          <w:sz w:val="36"/>
          <w:szCs w:val="36"/>
          <w:lang w:eastAsia="zh-CN"/>
        </w:rPr>
        <w:t>一</w:t>
      </w:r>
      <w:r>
        <w:rPr>
          <w:rFonts w:ascii="Times New Roman" w:hAnsi="Times New Roman" w:eastAsia="楷体_GB2312" w:cs="Times New Roman"/>
          <w:b/>
          <w:sz w:val="36"/>
          <w:szCs w:val="36"/>
        </w:rPr>
        <w:t>月</w:t>
      </w:r>
    </w:p>
    <w:p w14:paraId="00F5092C">
      <w:pPr>
        <w:spacing w:line="360" w:lineRule="auto"/>
        <w:jc w:val="center"/>
        <w:rPr>
          <w:rFonts w:ascii="Times New Roman" w:hAnsi="Times New Roman" w:eastAsia="楷体_GB2312" w:cs="Times New Roman"/>
          <w:b/>
          <w:sz w:val="36"/>
          <w:szCs w:val="36"/>
        </w:rPr>
      </w:pPr>
    </w:p>
    <w:p w14:paraId="536D9913">
      <w:pPr>
        <w:spacing w:line="360" w:lineRule="auto"/>
        <w:jc w:val="center"/>
        <w:rPr>
          <w:rFonts w:ascii="Times New Roman" w:hAnsi="Times New Roman" w:eastAsia="黑体" w:cs="Times New Roman"/>
          <w:sz w:val="36"/>
          <w:szCs w:val="36"/>
        </w:rPr>
        <w:sectPr>
          <w:pgSz w:w="11906" w:h="16838"/>
          <w:pgMar w:top="1418" w:right="1418" w:bottom="1985" w:left="1797" w:header="851" w:footer="992" w:gutter="0"/>
          <w:cols w:space="425" w:num="1"/>
          <w:docGrid w:linePitch="312" w:charSpace="0"/>
        </w:sectPr>
      </w:pPr>
    </w:p>
    <w:sdt>
      <w:sdtPr>
        <w:rPr>
          <w:rFonts w:ascii="Times New Roman" w:hAnsi="Times New Roman" w:eastAsia="黑体" w:cs="Times New Roman"/>
          <w:sz w:val="44"/>
          <w:szCs w:val="48"/>
        </w:rPr>
        <w:id w:val="147469836"/>
        <w15:color w:val="DBDBDB"/>
        <w:docPartObj>
          <w:docPartGallery w:val="Table of Contents"/>
          <w:docPartUnique/>
        </w:docPartObj>
      </w:sdtPr>
      <w:sdtEndPr>
        <w:rPr>
          <w:rFonts w:ascii="Times New Roman" w:hAnsi="Times New Roman" w:eastAsia="黑体" w:cs="Times New Roman"/>
          <w:sz w:val="21"/>
          <w:szCs w:val="36"/>
        </w:rPr>
      </w:sdtEndPr>
      <w:sdtContent>
        <w:p w14:paraId="2E9661AB">
          <w:pPr>
            <w:spacing w:before="480" w:beforeLines="200" w:after="480" w:afterLines="200"/>
            <w:jc w:val="center"/>
            <w:rPr>
              <w:rFonts w:ascii="Times New Roman" w:hAnsi="Times New Roman" w:eastAsia="黑体" w:cs="Times New Roman"/>
              <w:sz w:val="44"/>
              <w:szCs w:val="48"/>
            </w:rPr>
          </w:pPr>
          <w:r>
            <w:rPr>
              <w:rFonts w:ascii="Times New Roman" w:hAnsi="Times New Roman" w:eastAsia="黑体" w:cs="Times New Roman"/>
              <w:sz w:val="44"/>
              <w:szCs w:val="48"/>
            </w:rPr>
            <w:t>目  录</w:t>
          </w:r>
        </w:p>
        <w:p w14:paraId="5A2DB469">
          <w:pPr>
            <w:pStyle w:val="10"/>
            <w:tabs>
              <w:tab w:val="right" w:leader="dot" w:pos="8691"/>
            </w:tabs>
            <w:spacing w:line="480" w:lineRule="auto"/>
            <w:rPr>
              <w:rFonts w:ascii="Times New Roman" w:hAnsi="Times New Roman" w:eastAsia="黑体" w:cs="Times New Roman"/>
              <w:sz w:val="28"/>
              <w:szCs w:val="32"/>
            </w:rPr>
          </w:pPr>
          <w:r>
            <w:rPr>
              <w:rFonts w:ascii="Times New Roman" w:hAnsi="Times New Roman" w:eastAsia="黑体" w:cs="Times New Roman"/>
              <w:sz w:val="32"/>
              <w:szCs w:val="32"/>
            </w:rPr>
            <w:fldChar w:fldCharType="begin"/>
          </w:r>
          <w:r>
            <w:rPr>
              <w:rFonts w:ascii="Times New Roman" w:hAnsi="Times New Roman" w:eastAsia="黑体" w:cs="Times New Roman"/>
              <w:sz w:val="32"/>
              <w:szCs w:val="32"/>
            </w:rPr>
            <w:instrText xml:space="preserve">TOC \o "1-1" \h \u </w:instrText>
          </w:r>
          <w:r>
            <w:rPr>
              <w:rFonts w:ascii="Times New Roman" w:hAnsi="Times New Roman" w:eastAsia="黑体" w:cs="Times New Roman"/>
              <w:sz w:val="32"/>
              <w:szCs w:val="32"/>
            </w:rPr>
            <w:fldChar w:fldCharType="separate"/>
          </w:r>
          <w:r>
            <w:fldChar w:fldCharType="begin"/>
          </w:r>
          <w:r>
            <w:instrText xml:space="preserve"> HYPERLINK \l "_Toc19956" </w:instrText>
          </w:r>
          <w:r>
            <w:fldChar w:fldCharType="separate"/>
          </w:r>
          <w:r>
            <w:rPr>
              <w:rFonts w:ascii="Times New Roman" w:hAnsi="Times New Roman" w:eastAsia="黑体" w:cs="Times New Roman"/>
              <w:sz w:val="28"/>
              <w:szCs w:val="40"/>
            </w:rPr>
            <w:t>一、工作简况</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_Toc19956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1</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266F1170">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"_Toc16067" </w:instrText>
          </w:r>
          <w:r>
            <w:fldChar w:fldCharType="separate"/>
          </w:r>
          <w:r>
            <w:rPr>
              <w:rFonts w:ascii="Times New Roman" w:hAnsi="Times New Roman" w:eastAsia="黑体" w:cs="Times New Roman"/>
              <w:sz w:val="28"/>
              <w:szCs w:val="40"/>
            </w:rPr>
            <w:t>二、标准编制原则和主要内容</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_Toc16067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3</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0DFCC1BE">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"_Toc12675" </w:instrText>
          </w:r>
          <w:r>
            <w:fldChar w:fldCharType="separate"/>
          </w:r>
          <w:r>
            <w:rPr>
              <w:rFonts w:ascii="Times New Roman" w:hAnsi="Times New Roman" w:eastAsia="黑体" w:cs="Times New Roman"/>
              <w:kern w:val="0"/>
              <w:sz w:val="28"/>
              <w:szCs w:val="40"/>
            </w:rPr>
            <w:t>三、主要试验和情况分析</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_Toc12675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19</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34A15783">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"_Toc20840" </w:instrText>
          </w:r>
          <w:r>
            <w:fldChar w:fldCharType="separate"/>
          </w:r>
          <w:r>
            <w:rPr>
              <w:rFonts w:ascii="Times New Roman" w:hAnsi="Times New Roman" w:eastAsia="黑体" w:cs="Times New Roman"/>
              <w:kern w:val="0"/>
              <w:sz w:val="28"/>
              <w:szCs w:val="40"/>
            </w:rPr>
            <w:t>四、标准中涉及专利的情况</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_Toc20840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19</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2CA70CFD">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"_Toc29243" </w:instrText>
          </w:r>
          <w:r>
            <w:fldChar w:fldCharType="separate"/>
          </w:r>
          <w:r>
            <w:rPr>
              <w:rFonts w:ascii="Times New Roman" w:hAnsi="Times New Roman" w:eastAsia="黑体" w:cs="Times New Roman"/>
              <w:kern w:val="0"/>
              <w:sz w:val="28"/>
              <w:szCs w:val="40"/>
            </w:rPr>
            <w:t>五、预期达到的效益（经济、效益、生态等），对产业发展的作用的情况</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_Toc29243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20</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1FAA1BEE">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"_Toc4979" </w:instrText>
          </w:r>
          <w:r>
            <w:fldChar w:fldCharType="separate"/>
          </w:r>
          <w:r>
            <w:rPr>
              <w:rFonts w:ascii="Times New Roman" w:hAnsi="Times New Roman" w:eastAsia="黑体" w:cs="Times New Roman"/>
              <w:kern w:val="0"/>
              <w:sz w:val="28"/>
              <w:szCs w:val="40"/>
            </w:rPr>
            <w:t>六、与有关的现行法律、法规和强制性国家标准的关系</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_Toc4979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20</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5BFE4104">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"_Toc21799" </w:instrText>
          </w:r>
          <w:r>
            <w:fldChar w:fldCharType="separate"/>
          </w:r>
          <w:r>
            <w:rPr>
              <w:rFonts w:ascii="Times New Roman" w:hAnsi="Times New Roman" w:eastAsia="黑体" w:cs="Times New Roman"/>
              <w:kern w:val="0"/>
              <w:sz w:val="28"/>
              <w:szCs w:val="40"/>
            </w:rPr>
            <w:t>七、重大意见分歧的处理依据和结果</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_Toc21799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20</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44112233">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"_Toc20135" </w:instrText>
          </w:r>
          <w:r>
            <w:fldChar w:fldCharType="separate"/>
          </w:r>
          <w:r>
            <w:rPr>
              <w:rFonts w:ascii="Times New Roman" w:hAnsi="Times New Roman" w:eastAsia="黑体" w:cs="Times New Roman"/>
              <w:kern w:val="0"/>
              <w:sz w:val="28"/>
              <w:szCs w:val="40"/>
            </w:rPr>
            <w:t>八、标准性质的建议说明</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_Toc20135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20</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6059E002">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"_Toc23106" </w:instrText>
          </w:r>
          <w:r>
            <w:fldChar w:fldCharType="separate"/>
          </w:r>
          <w:r>
            <w:rPr>
              <w:rFonts w:ascii="Times New Roman" w:hAnsi="Times New Roman" w:eastAsia="黑体" w:cs="Times New Roman"/>
              <w:kern w:val="0"/>
              <w:sz w:val="28"/>
              <w:szCs w:val="40"/>
            </w:rPr>
            <w:t>九、贯彻标准的要求和措施建议</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_Toc23106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20</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72F392A0">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"_Toc29517" </w:instrText>
          </w:r>
          <w:r>
            <w:fldChar w:fldCharType="separate"/>
          </w:r>
          <w:r>
            <w:rPr>
              <w:rFonts w:ascii="Times New Roman" w:hAnsi="Times New Roman" w:eastAsia="黑体" w:cs="Times New Roman"/>
              <w:kern w:val="0"/>
              <w:sz w:val="28"/>
              <w:szCs w:val="40"/>
            </w:rPr>
            <w:t>十、废止现行相关标准的建议</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_Toc29517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20</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054D0588">
          <w:pPr>
            <w:pStyle w:val="10"/>
            <w:tabs>
              <w:tab w:val="right" w:leader="dot" w:pos="8691"/>
            </w:tabs>
            <w:spacing w:line="480" w:lineRule="auto"/>
            <w:rPr>
              <w:rFonts w:ascii="Times New Roman" w:hAnsi="Times New Roman" w:eastAsia="黑体" w:cs="Times New Roman"/>
              <w:sz w:val="36"/>
              <w:szCs w:val="36"/>
            </w:rPr>
            <w:sectPr>
              <w:footerReference r:id="rId3" w:type="default"/>
              <w:pgSz w:w="11906" w:h="16838"/>
              <w:pgMar w:top="1418" w:right="1418" w:bottom="1985" w:left="1797" w:header="851" w:footer="992" w:gutter="0"/>
              <w:pgNumType w:start="1"/>
              <w:cols w:space="425" w:num="1"/>
              <w:docGrid w:linePitch="312" w:charSpace="0"/>
            </w:sectPr>
          </w:pPr>
          <w:r>
            <w:fldChar w:fldCharType="begin"/>
          </w:r>
          <w:r>
            <w:instrText xml:space="preserve"> HYPERLINK \l "_Toc18435" </w:instrText>
          </w:r>
          <w:r>
            <w:fldChar w:fldCharType="separate"/>
          </w:r>
          <w:r>
            <w:rPr>
              <w:rFonts w:ascii="Times New Roman" w:hAnsi="Times New Roman" w:eastAsia="黑体" w:cs="Times New Roman"/>
              <w:kern w:val="0"/>
              <w:sz w:val="28"/>
              <w:szCs w:val="40"/>
            </w:rPr>
            <w:t>十一、其他应予说明的事项</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_Toc18435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20</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r>
            <w:rPr>
              <w:rFonts w:ascii="Times New Roman" w:hAnsi="Times New Roman" w:eastAsia="黑体" w:cs="Times New Roman"/>
              <w:szCs w:val="32"/>
            </w:rPr>
            <w:fldChar w:fldCharType="end"/>
          </w:r>
        </w:p>
      </w:sdtContent>
    </w:sdt>
    <w:p w14:paraId="76D9DA31">
      <w:pPr>
        <w:spacing w:line="360" w:lineRule="auto"/>
        <w:jc w:val="center"/>
        <w:outlineLvl w:val="1"/>
        <w:rPr>
          <w:rFonts w:ascii="Times New Roman" w:hAnsi="Times New Roman" w:eastAsia="黑体" w:cs="Times New Roman"/>
          <w:b/>
          <w:sz w:val="36"/>
          <w:szCs w:val="36"/>
        </w:rPr>
      </w:pPr>
      <w:r>
        <w:rPr>
          <w:rFonts w:ascii="Times New Roman" w:hAnsi="Times New Roman" w:eastAsia="黑体" w:cs="Times New Roman"/>
          <w:b/>
          <w:sz w:val="36"/>
          <w:szCs w:val="36"/>
        </w:rPr>
        <w:t>《产品碳足迹评价规范 刹车盘盖板》团体标准</w:t>
      </w:r>
    </w:p>
    <w:p w14:paraId="1E9474F3">
      <w:pPr>
        <w:spacing w:line="360" w:lineRule="auto"/>
        <w:jc w:val="center"/>
        <w:outlineLvl w:val="1"/>
        <w:rPr>
          <w:rFonts w:ascii="Times New Roman" w:hAnsi="Times New Roman" w:eastAsia="黑体" w:cs="Times New Roman"/>
          <w:b/>
          <w:sz w:val="36"/>
          <w:szCs w:val="36"/>
        </w:rPr>
      </w:pPr>
      <w:r>
        <w:rPr>
          <w:rFonts w:ascii="Times New Roman" w:hAnsi="Times New Roman" w:eastAsia="黑体" w:cs="Times New Roman"/>
          <w:b/>
          <w:sz w:val="36"/>
          <w:szCs w:val="36"/>
        </w:rPr>
        <w:t>编制说明</w:t>
      </w:r>
    </w:p>
    <w:p w14:paraId="40575E87">
      <w:pPr>
        <w:spacing w:line="360" w:lineRule="auto"/>
        <w:outlineLvl w:val="0"/>
        <w:rPr>
          <w:rFonts w:ascii="Times New Roman" w:hAnsi="Times New Roman" w:eastAsia="黑体" w:cs="Times New Roman"/>
          <w:b/>
          <w:color w:val="000000" w:themeColor="text1"/>
          <w:sz w:val="30"/>
          <w:szCs w:val="30"/>
        </w:rPr>
      </w:pPr>
      <w:bookmarkStart w:id="0" w:name="_Toc19956"/>
      <w:r>
        <w:rPr>
          <w:rFonts w:ascii="Times New Roman" w:hAnsi="Times New Roman" w:eastAsia="黑体" w:cs="Times New Roman"/>
          <w:b/>
          <w:sz w:val="30"/>
          <w:szCs w:val="30"/>
        </w:rPr>
        <w:t>一、工作简况</w:t>
      </w:r>
      <w:bookmarkEnd w:id="0"/>
    </w:p>
    <w:p w14:paraId="72D2291F">
      <w:pPr>
        <w:spacing w:line="360" w:lineRule="auto"/>
        <w:outlineLvl w:val="2"/>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（一）任务来源</w:t>
      </w:r>
    </w:p>
    <w:p w14:paraId="73F39737">
      <w:pPr>
        <w:snapToGrid w:val="0"/>
        <w:spacing w:line="360" w:lineRule="auto"/>
        <w:ind w:firstLine="560" w:firstLineChars="200"/>
        <w:rPr>
          <w:rFonts w:ascii="Times New Roman" w:hAnsi="Times New Roman" w:cs="Times New Roman"/>
          <w:kern w:val="0"/>
          <w:sz w:val="28"/>
          <w:szCs w:val="28"/>
        </w:rPr>
      </w:pPr>
      <w:r>
        <w:rPr>
          <w:rFonts w:hint="eastAsia" w:ascii="Times New Roman" w:hAnsi="Times New Roman" w:cs="Times New Roman"/>
          <w:kern w:val="0"/>
          <w:sz w:val="28"/>
          <w:szCs w:val="28"/>
        </w:rPr>
        <w:t>随着全球气候变化议题持续深化，低碳发展已成为制造业转型升级的核心方向。刹车盘盖板作为汽车制动系统的关键零部件，其生产过程涉及原材料开采、加工制造、物流运输等多环节，碳足迹贯穿产品全生命周期。当前，行业内缺乏针对该类产品的系统性碳足迹评价标准，导致企业减排实践缺乏统一依据，消费者选择低碳产品时难以获取可信标识，国际市场贸易中更因碳壁垒面临潜在风险。本团体标准的制定旨在填补这一空白，通过构建科学、规范的评价方法体系，明确刹车盘盖板碳足迹核算的边界条件、数据采集规则及量化模型，为企业提供可操作的减碳路径，推动行业从“经验驱动”向“标准引领”转型。同时，标准将强化产业链上下游协同减排意识，促进原材料供应商优化生产工艺、制造商改进能源管理、回收企业完善循环体系，形成覆盖全链条的低碳发展生态，助力汽车零部件产业向绿色化、可持续化方向迈进。</w:t>
      </w:r>
    </w:p>
    <w:p w14:paraId="73CB9A4E">
      <w:pPr>
        <w:snapToGrid w:val="0"/>
        <w:spacing w:line="360" w:lineRule="auto"/>
        <w:ind w:firstLine="560" w:firstLineChars="200"/>
        <w:rPr>
          <w:rFonts w:ascii="Times New Roman" w:hAnsi="Times New Roman" w:cs="Times New Roman"/>
          <w:kern w:val="0"/>
          <w:sz w:val="28"/>
          <w:szCs w:val="28"/>
          <w:highlight w:val="yellow"/>
        </w:rPr>
      </w:pPr>
      <w:r>
        <w:rPr>
          <w:rFonts w:hint="eastAsia" w:ascii="Times New Roman" w:hAnsi="Times New Roman" w:cs="Times New Roman"/>
          <w:kern w:val="0"/>
          <w:sz w:val="28"/>
          <w:szCs w:val="28"/>
        </w:rPr>
        <w:t>在“双碳”目标背景下，企业面临政策合规与市场需求的双重压力。制定刹车盘盖板碳足迹评价标准，可帮助企业精准识别高碳环节，制定针对性改进措施，降低合规成本；通过碳标签认证，企业能提升产品环境属性透明度，增强国际市场竞争力。此外，标准实施将引导消费者关注产品全生命周期环境影响，推动绿色消费理念普及，形成“生产-消费-回收”的良性循环。从社会层面看，项目通过量化产品碳足迹，为政府制定产业政策、开展碳交易市场建设提供数据支撑，助力实现交通领域碳减排目标。同时，团体标准的灵活性可快速响应技术迭代与市场需求，为后续国家标准、国际标准对接奠定基础，提升中国在全球气候治理中的话语权，推动制造业高质量发展与生态文明建设深度融合。</w:t>
      </w:r>
    </w:p>
    <w:p w14:paraId="64EB91D4">
      <w:pPr>
        <w:spacing w:line="360" w:lineRule="auto"/>
        <w:outlineLvl w:val="2"/>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（二）编制过程</w:t>
      </w:r>
    </w:p>
    <w:p w14:paraId="3C4656A5">
      <w:pPr>
        <w:snapToGrid w:val="0"/>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为使本标准在刹车盘盖板产品碳足迹评价管理工作中起到规范信息化管理作用，标准起草工作组力求科学性、可操作性，以科学、谨慎的态度，在对我国现有刹车盘盖板产品碳足迹评价相关管理服务体系文件、模式基础上，经过综合分析、充分验证资料、反复讨论研究和修改，最终确定了本标准的主要内容。</w:t>
      </w:r>
    </w:p>
    <w:p w14:paraId="7176CF9B">
      <w:pPr>
        <w:snapToGrid w:val="0"/>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标准起草工作组在标准起草期间主要开展工作情况如下</w:t>
      </w:r>
      <w:r>
        <w:rPr>
          <w:rFonts w:hint="eastAsia" w:ascii="Times New Roman" w:hAnsi="Times New Roman" w:cs="Times New Roman"/>
          <w:kern w:val="0"/>
          <w:sz w:val="28"/>
          <w:szCs w:val="28"/>
        </w:rPr>
        <w:t>：</w:t>
      </w:r>
    </w:p>
    <w:p w14:paraId="76075B13">
      <w:pPr>
        <w:snapToGrid w:val="0"/>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1、项目立项及理论研究阶段</w:t>
      </w:r>
    </w:p>
    <w:p w14:paraId="133DEC27">
      <w:pPr>
        <w:snapToGrid w:val="0"/>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标准起草组成立伊始就对国内外刹车盘盖板产品碳足迹相关情况进行了深入的调查研究，同时广泛搜集相关标准和国外技术资料，进行了大量的研究分析、资料查证工作，确定了刹车盘盖板产品碳足迹评价标准化管理中现存问题，结合现有产品实际应用经验，为标准起草奠定了基础。</w:t>
      </w:r>
    </w:p>
    <w:p w14:paraId="49995E92">
      <w:pPr>
        <w:snapToGrid w:val="0"/>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标准起草组进一步研究了刹车盘盖板产品碳足迹需要具备的特殊条件，明确了技术要求和指标，为标准的具体起草指明了方向。</w:t>
      </w:r>
    </w:p>
    <w:p w14:paraId="1BCDEF0B">
      <w:pPr>
        <w:snapToGrid w:val="0"/>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2、标准起草阶段</w:t>
      </w:r>
    </w:p>
    <w:p w14:paraId="465830F8">
      <w:pPr>
        <w:snapToGrid w:val="0"/>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在理论研究基础上，起草组在标准编制过程中充分借鉴已有的理论研究和实践成果，基于我国市场行情，经过数次修订，形成了《产品碳足迹评价规范 刹车盘盖板》标准草案。</w:t>
      </w:r>
    </w:p>
    <w:p w14:paraId="405B67DF">
      <w:pPr>
        <w:snapToGrid w:val="0"/>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3、标准征求意见阶段</w:t>
      </w:r>
    </w:p>
    <w:p w14:paraId="0DAC9E52">
      <w:pPr>
        <w:snapToGrid w:val="0"/>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形成标准草案之后，起草组召开了多次专家研讨会，从标准框架、标准起草等角度广泛征求多方意见，从理论完善和实践应用多方面提升标准的适用性和实用性。经过理论研究和方法验证，起草组形成了《产品碳足迹评价规范 刹车盘盖板》（征求意见稿）。</w:t>
      </w:r>
    </w:p>
    <w:p w14:paraId="32426E21">
      <w:pPr>
        <w:spacing w:line="360" w:lineRule="auto"/>
        <w:outlineLvl w:val="2"/>
        <w:rPr>
          <w:rFonts w:ascii="Times New Roman" w:hAnsi="Times New Roman" w:cs="Times New Roman"/>
          <w:b/>
          <w:sz w:val="28"/>
          <w:szCs w:val="28"/>
        </w:rPr>
      </w:pPr>
      <w:r>
        <w:rPr>
          <w:rFonts w:ascii="Times New Roman" w:hAnsi="Times New Roman" w:cs="Times New Roman"/>
          <w:b/>
          <w:sz w:val="28"/>
          <w:szCs w:val="28"/>
        </w:rPr>
        <w:t>（三）主要起草单位及起草人所做的工作</w:t>
      </w:r>
    </w:p>
    <w:p w14:paraId="3987C6A0">
      <w:pPr>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1、主要起草单位</w:t>
      </w:r>
    </w:p>
    <w:p w14:paraId="28DBAB6A">
      <w:pPr>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协会</w:t>
      </w:r>
      <w:r>
        <w:rPr>
          <w:rFonts w:hint="eastAsia" w:ascii="Times New Roman" w:hAnsi="Times New Roman" w:cs="Times New Roman"/>
          <w:kern w:val="0"/>
          <w:sz w:val="28"/>
          <w:szCs w:val="28"/>
        </w:rPr>
        <w:t>、企业</w:t>
      </w:r>
      <w:r>
        <w:rPr>
          <w:rFonts w:ascii="Times New Roman" w:hAnsi="Times New Roman" w:cs="Times New Roman"/>
          <w:kern w:val="0"/>
          <w:sz w:val="28"/>
          <w:szCs w:val="28"/>
        </w:rPr>
        <w:t>等多家单位的专家成立了规范起草小组，开展标准的编制工作。</w:t>
      </w:r>
    </w:p>
    <w:p w14:paraId="0E4BB955">
      <w:pPr>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经工作组的不懈努力，在202</w:t>
      </w:r>
      <w:r>
        <w:rPr>
          <w:rFonts w:hint="eastAsia" w:ascii="Times New Roman" w:hAnsi="Times New Roman" w:cs="Times New Roman"/>
          <w:kern w:val="0"/>
          <w:sz w:val="28"/>
          <w:szCs w:val="28"/>
        </w:rPr>
        <w:t>5</w:t>
      </w:r>
      <w:r>
        <w:rPr>
          <w:rFonts w:ascii="Times New Roman" w:hAnsi="Times New Roman" w:cs="Times New Roman"/>
          <w:kern w:val="0"/>
          <w:sz w:val="28"/>
          <w:szCs w:val="28"/>
        </w:rPr>
        <w:t>年</w:t>
      </w:r>
      <w:r>
        <w:rPr>
          <w:rFonts w:hint="eastAsia" w:ascii="Times New Roman" w:hAnsi="Times New Roman" w:cs="Times New Roman"/>
          <w:kern w:val="0"/>
          <w:sz w:val="28"/>
          <w:szCs w:val="28"/>
        </w:rPr>
        <w:t>1</w:t>
      </w:r>
      <w:r>
        <w:rPr>
          <w:rFonts w:hint="eastAsia" w:ascii="Times New Roman" w:hAnsi="Times New Roman" w:cs="Times New Roman"/>
          <w:kern w:val="0"/>
          <w:sz w:val="28"/>
          <w:szCs w:val="28"/>
          <w:lang w:val="en-US" w:eastAsia="zh-CN"/>
        </w:rPr>
        <w:t>1</w:t>
      </w:r>
      <w:bookmarkStart w:id="67" w:name="_GoBack"/>
      <w:bookmarkEnd w:id="67"/>
      <w:r>
        <w:rPr>
          <w:rFonts w:ascii="Times New Roman" w:hAnsi="Times New Roman" w:cs="Times New Roman"/>
          <w:kern w:val="0"/>
          <w:sz w:val="28"/>
          <w:szCs w:val="28"/>
        </w:rPr>
        <w:t>月，完成了标准征求意见稿的编写工作。</w:t>
      </w:r>
    </w:p>
    <w:p w14:paraId="0A11B1B9">
      <w:pPr>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2、起草人所做工作</w:t>
      </w:r>
    </w:p>
    <w:p w14:paraId="63DBB064">
      <w:pPr>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广泛收集相关资料。在广泛调研、查阅和研究国际标准、国家标准、行业标准的基础之上，形成本标准草案稿。</w:t>
      </w:r>
    </w:p>
    <w:p w14:paraId="7E0AD047">
      <w:pPr>
        <w:spacing w:line="360" w:lineRule="auto"/>
        <w:outlineLvl w:val="0"/>
        <w:rPr>
          <w:rFonts w:ascii="Times New Roman" w:hAnsi="Times New Roman" w:eastAsia="黑体" w:cs="Times New Roman"/>
          <w:b/>
          <w:sz w:val="30"/>
          <w:szCs w:val="30"/>
        </w:rPr>
      </w:pPr>
      <w:bookmarkStart w:id="1" w:name="_Toc16067"/>
      <w:r>
        <w:rPr>
          <w:rFonts w:ascii="Times New Roman" w:hAnsi="Times New Roman" w:eastAsia="黑体" w:cs="Times New Roman"/>
          <w:b/>
          <w:sz w:val="30"/>
          <w:szCs w:val="30"/>
        </w:rPr>
        <w:t>二、标准编制原则和主要内容</w:t>
      </w:r>
      <w:bookmarkEnd w:id="1"/>
    </w:p>
    <w:p w14:paraId="7FE53FD5">
      <w:pPr>
        <w:spacing w:line="360" w:lineRule="auto"/>
        <w:outlineLvl w:val="2"/>
        <w:rPr>
          <w:rFonts w:ascii="Times New Roman" w:hAnsi="Times New Roman" w:cs="Times New Roman"/>
          <w:b/>
          <w:sz w:val="28"/>
          <w:szCs w:val="28"/>
        </w:rPr>
      </w:pPr>
      <w:r>
        <w:rPr>
          <w:rFonts w:ascii="Times New Roman" w:hAnsi="Times New Roman" w:cs="Times New Roman"/>
          <w:b/>
          <w:sz w:val="28"/>
          <w:szCs w:val="28"/>
        </w:rPr>
        <w:t>（一）标准编制原则</w:t>
      </w:r>
    </w:p>
    <w:p w14:paraId="18CEBAF4">
      <w:pPr>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本标准依据相关行业标准，标准编制遵循“前瞻性、实用性、统一性、规范性”的原则，注重标准的可操作性，本标准严格按照《标准化工作指南》和GB/T 1.1《标准化工作导则 第一部分：标准的结构和编写》的要求进行编制。标准文本的编排采用中国标准编写模板TCS 2009版进行排版，确保标准文本的规范性。</w:t>
      </w:r>
    </w:p>
    <w:p w14:paraId="4DE6DDC2">
      <w:pPr>
        <w:spacing w:line="360" w:lineRule="auto"/>
        <w:outlineLvl w:val="2"/>
        <w:rPr>
          <w:rFonts w:ascii="Times New Roman" w:hAnsi="Times New Roman" w:cs="Times New Roman"/>
          <w:b/>
          <w:sz w:val="28"/>
          <w:szCs w:val="28"/>
        </w:rPr>
      </w:pPr>
      <w:r>
        <w:rPr>
          <w:rFonts w:ascii="Times New Roman" w:hAnsi="Times New Roman" w:cs="Times New Roman"/>
          <w:b/>
          <w:sz w:val="28"/>
          <w:szCs w:val="28"/>
        </w:rPr>
        <w:t>（二）标准主要技术内容</w:t>
      </w:r>
    </w:p>
    <w:p w14:paraId="2CD64161">
      <w:pPr>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本标准报批稿包括</w:t>
      </w:r>
      <w:r>
        <w:rPr>
          <w:rFonts w:hint="eastAsia" w:ascii="Times New Roman" w:hAnsi="Times New Roman" w:cs="Times New Roman"/>
          <w:sz w:val="28"/>
          <w:szCs w:val="28"/>
        </w:rPr>
        <w:t>9</w:t>
      </w:r>
      <w:r>
        <w:rPr>
          <w:rFonts w:ascii="Times New Roman" w:hAnsi="Times New Roman" w:cs="Times New Roman"/>
          <w:sz w:val="28"/>
          <w:szCs w:val="28"/>
        </w:rPr>
        <w:t>个部分，主要内容如下：</w:t>
      </w:r>
    </w:p>
    <w:p w14:paraId="63B6BBAA">
      <w:pPr>
        <w:pStyle w:val="47"/>
        <w:spacing w:before="0" w:beforeLines="0" w:after="0" w:afterLines="0" w:line="360" w:lineRule="auto"/>
        <w:outlineLvl w:val="9"/>
        <w:rPr>
          <w:rFonts w:ascii="宋体" w:hAnsi="宋体" w:eastAsia="宋体"/>
          <w:sz w:val="28"/>
          <w:szCs w:val="24"/>
        </w:rPr>
      </w:pPr>
      <w:bookmarkStart w:id="2" w:name="_Toc212018396"/>
      <w:bookmarkStart w:id="3" w:name="_Toc26986771"/>
      <w:bookmarkStart w:id="4" w:name="_Toc212021792"/>
      <w:bookmarkStart w:id="5" w:name="_Toc26648465"/>
      <w:bookmarkStart w:id="6" w:name="_Toc17233333"/>
      <w:bookmarkStart w:id="7" w:name="_Toc26718930"/>
      <w:bookmarkStart w:id="8" w:name="_Toc24884218"/>
      <w:bookmarkStart w:id="9" w:name="_Toc24884211"/>
      <w:bookmarkStart w:id="10" w:name="_Toc17233325"/>
      <w:bookmarkStart w:id="11" w:name="_Toc97192964"/>
      <w:bookmarkStart w:id="12" w:name="_Toc26986530"/>
      <w:r>
        <w:rPr>
          <w:rFonts w:hint="eastAsia" w:ascii="宋体" w:hAnsi="宋体" w:eastAsia="宋体"/>
          <w:sz w:val="28"/>
          <w:szCs w:val="24"/>
        </w:rPr>
        <w:t>范围</w:t>
      </w:r>
      <w:bookmarkEnd w:id="2"/>
      <w:bookmarkEnd w:id="3"/>
      <w:bookmarkEnd w:id="4"/>
      <w:bookmarkEnd w:id="5"/>
      <w:bookmarkEnd w:id="6"/>
      <w:bookmarkEnd w:id="7"/>
      <w:bookmarkEnd w:id="8"/>
      <w:bookmarkEnd w:id="9"/>
      <w:bookmarkEnd w:id="10"/>
      <w:bookmarkEnd w:id="11"/>
      <w:bookmarkEnd w:id="12"/>
    </w:p>
    <w:p w14:paraId="744A607E">
      <w:pPr>
        <w:pStyle w:val="34"/>
        <w:spacing w:line="360" w:lineRule="auto"/>
        <w:ind w:firstLine="560"/>
        <w:rPr>
          <w:rFonts w:hint="eastAsia" w:hAnsi="宋体"/>
          <w:sz w:val="28"/>
          <w:szCs w:val="24"/>
        </w:rPr>
      </w:pPr>
      <w:bookmarkStart w:id="13" w:name="_Toc24884219"/>
      <w:bookmarkStart w:id="14" w:name="_Toc24884212"/>
      <w:bookmarkStart w:id="15" w:name="_Toc26648466"/>
      <w:bookmarkStart w:id="16" w:name="_Toc17233334"/>
      <w:bookmarkStart w:id="17" w:name="_Toc17233326"/>
      <w:r>
        <w:rPr>
          <w:rFonts w:hint="eastAsia" w:hAnsi="宋体"/>
          <w:sz w:val="28"/>
          <w:szCs w:val="24"/>
        </w:rPr>
        <w:t>本文件规定了刹车盘盖板产品碳足迹评价的术语和定义、 原则、功能单位、系统边界、数据收集、分配与计算、评价报告</w:t>
      </w:r>
    </w:p>
    <w:p w14:paraId="6464A5A7">
      <w:pPr>
        <w:pStyle w:val="34"/>
        <w:spacing w:line="360" w:lineRule="auto"/>
        <w:ind w:firstLine="560"/>
        <w:rPr>
          <w:rFonts w:hAnsi="宋体"/>
          <w:sz w:val="28"/>
          <w:szCs w:val="24"/>
        </w:rPr>
      </w:pPr>
      <w:r>
        <w:rPr>
          <w:rFonts w:hint="eastAsia" w:hAnsi="宋体"/>
          <w:sz w:val="28"/>
          <w:szCs w:val="24"/>
        </w:rPr>
        <w:t>本文件适用于刹车盘盖板产品碳足迹评价。</w:t>
      </w:r>
    </w:p>
    <w:p w14:paraId="0433D675">
      <w:pPr>
        <w:pStyle w:val="47"/>
        <w:spacing w:before="0" w:beforeLines="0" w:after="0" w:afterLines="0" w:line="360" w:lineRule="auto"/>
        <w:outlineLvl w:val="9"/>
        <w:rPr>
          <w:rFonts w:ascii="宋体" w:hAnsi="宋体" w:eastAsia="宋体"/>
          <w:sz w:val="28"/>
          <w:szCs w:val="24"/>
        </w:rPr>
      </w:pPr>
      <w:bookmarkStart w:id="18" w:name="_Toc26986772"/>
      <w:bookmarkStart w:id="19" w:name="_Toc26718931"/>
      <w:bookmarkStart w:id="20" w:name="_Toc212018397"/>
      <w:bookmarkStart w:id="21" w:name="_Toc212021793"/>
      <w:bookmarkStart w:id="22" w:name="_Toc26986531"/>
      <w:bookmarkStart w:id="23" w:name="_Toc97192965"/>
      <w:r>
        <w:rPr>
          <w:rFonts w:hint="eastAsia" w:ascii="宋体" w:hAnsi="宋体" w:eastAsia="宋体"/>
          <w:sz w:val="28"/>
          <w:szCs w:val="24"/>
        </w:rPr>
        <w:t>规范性引用文件</w:t>
      </w:r>
      <w:bookmarkEnd w:id="13"/>
      <w:bookmarkEnd w:id="14"/>
      <w:bookmarkEnd w:id="15"/>
      <w:bookmarkEnd w:id="16"/>
      <w:bookmarkEnd w:id="17"/>
      <w:bookmarkEnd w:id="18"/>
      <w:bookmarkEnd w:id="19"/>
      <w:bookmarkEnd w:id="20"/>
      <w:bookmarkEnd w:id="21"/>
      <w:bookmarkEnd w:id="22"/>
      <w:bookmarkEnd w:id="23"/>
    </w:p>
    <w:sdt>
      <w:sdtPr>
        <w:rPr>
          <w:rFonts w:hint="eastAsia" w:hAnsi="宋体"/>
          <w:sz w:val="28"/>
          <w:szCs w:val="24"/>
        </w:rPr>
        <w:id w:val="715848253"/>
        <w:placeholder>
          <w:docPart w:val="5836E3E968094882A84F39C2F063497E"/>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hAnsi="宋体"/>
          <w:sz w:val="28"/>
          <w:szCs w:val="24"/>
        </w:rPr>
      </w:sdtEndPr>
      <w:sdtContent>
        <w:p w14:paraId="53B6F15D">
          <w:pPr>
            <w:pStyle w:val="34"/>
            <w:spacing w:line="360" w:lineRule="auto"/>
            <w:ind w:firstLine="560"/>
            <w:rPr>
              <w:rFonts w:hAnsi="宋体"/>
              <w:sz w:val="28"/>
              <w:szCs w:val="24"/>
            </w:rPr>
          </w:pPr>
          <w:r>
            <w:rPr>
              <w:rFonts w:hint="eastAsia" w:hAnsi="宋体"/>
              <w:sz w:val="28"/>
              <w:szCs w:val="24"/>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2C5652BB">
      <w:pPr>
        <w:pStyle w:val="34"/>
        <w:spacing w:line="360" w:lineRule="auto"/>
        <w:ind w:firstLine="560"/>
        <w:jc w:val="left"/>
        <w:rPr>
          <w:rFonts w:hAnsi="宋体"/>
          <w:sz w:val="28"/>
          <w:szCs w:val="24"/>
        </w:rPr>
      </w:pPr>
      <w:r>
        <w:rPr>
          <w:rFonts w:hAnsi="宋体"/>
          <w:sz w:val="28"/>
          <w:szCs w:val="24"/>
        </w:rPr>
        <w:t>GB/T 24040 环境管理 生命周期评价 原则与框架</w:t>
      </w:r>
    </w:p>
    <w:p w14:paraId="06B09087">
      <w:pPr>
        <w:pStyle w:val="34"/>
        <w:spacing w:line="360" w:lineRule="auto"/>
        <w:ind w:firstLine="560"/>
        <w:jc w:val="left"/>
        <w:rPr>
          <w:rFonts w:hAnsi="宋体"/>
          <w:sz w:val="28"/>
          <w:szCs w:val="24"/>
        </w:rPr>
      </w:pPr>
      <w:r>
        <w:rPr>
          <w:rFonts w:hAnsi="宋体"/>
          <w:sz w:val="28"/>
          <w:szCs w:val="24"/>
        </w:rPr>
        <w:t>GB/T 24044 环境管理 生命周期评价 要求与指南</w:t>
      </w:r>
    </w:p>
    <w:p w14:paraId="3EA52E2F">
      <w:pPr>
        <w:pStyle w:val="34"/>
        <w:spacing w:line="360" w:lineRule="auto"/>
        <w:ind w:firstLine="560"/>
        <w:jc w:val="left"/>
        <w:rPr>
          <w:rFonts w:hAnsi="宋体"/>
          <w:sz w:val="28"/>
          <w:szCs w:val="24"/>
        </w:rPr>
      </w:pPr>
      <w:r>
        <w:rPr>
          <w:rFonts w:hAnsi="宋体"/>
          <w:sz w:val="28"/>
          <w:szCs w:val="24"/>
        </w:rPr>
        <w:t>GB T 24062 环境管理 将环境因素引入产品的设计和开发</w:t>
      </w:r>
    </w:p>
    <w:p w14:paraId="61E9A22E">
      <w:pPr>
        <w:pStyle w:val="34"/>
        <w:spacing w:line="360" w:lineRule="auto"/>
        <w:ind w:firstLine="560"/>
        <w:jc w:val="left"/>
        <w:rPr>
          <w:rFonts w:hAnsi="宋体"/>
          <w:sz w:val="28"/>
          <w:szCs w:val="24"/>
        </w:rPr>
      </w:pPr>
      <w:r>
        <w:rPr>
          <w:rFonts w:hAnsi="宋体"/>
          <w:sz w:val="28"/>
          <w:szCs w:val="24"/>
        </w:rPr>
        <w:t>GB/T 32150 工业企业温室气体排放核算和报告通则</w:t>
      </w:r>
    </w:p>
    <w:p w14:paraId="5AFFA822">
      <w:pPr>
        <w:pStyle w:val="34"/>
        <w:spacing w:line="360" w:lineRule="auto"/>
        <w:ind w:firstLine="560"/>
        <w:jc w:val="left"/>
        <w:rPr>
          <w:rFonts w:hAnsi="宋体"/>
          <w:sz w:val="28"/>
          <w:szCs w:val="24"/>
        </w:rPr>
      </w:pPr>
      <w:r>
        <w:rPr>
          <w:rFonts w:hAnsi="宋体"/>
          <w:sz w:val="28"/>
          <w:szCs w:val="24"/>
        </w:rPr>
        <w:t>ISO 14067:2018 温室气体 产品碳足迹 量化要求和指南（Greenhouse gases  Carbon footprint of products  Requirements and guidelines for quantification）</w:t>
      </w:r>
    </w:p>
    <w:p w14:paraId="1CE20FFF">
      <w:pPr>
        <w:pStyle w:val="47"/>
        <w:spacing w:before="0" w:beforeLines="0" w:after="0" w:afterLines="0" w:line="360" w:lineRule="auto"/>
        <w:outlineLvl w:val="9"/>
        <w:rPr>
          <w:rFonts w:ascii="宋体" w:hAnsi="宋体" w:eastAsia="宋体"/>
          <w:sz w:val="28"/>
          <w:szCs w:val="24"/>
        </w:rPr>
      </w:pPr>
      <w:bookmarkStart w:id="24" w:name="_Toc97192966"/>
      <w:bookmarkStart w:id="25" w:name="_Toc212021794"/>
      <w:bookmarkStart w:id="26" w:name="_Toc212018398"/>
      <w:r>
        <w:rPr>
          <w:rFonts w:hint="eastAsia" w:ascii="宋体" w:hAnsi="宋体" w:eastAsia="宋体"/>
          <w:sz w:val="28"/>
          <w:szCs w:val="28"/>
        </w:rPr>
        <w:t>术语和定义</w:t>
      </w:r>
      <w:bookmarkEnd w:id="24"/>
      <w:bookmarkEnd w:id="25"/>
      <w:bookmarkEnd w:id="26"/>
    </w:p>
    <w:sdt>
      <w:sdtPr>
        <w:rPr>
          <w:rFonts w:hAnsi="宋体"/>
          <w:sz w:val="28"/>
          <w:szCs w:val="24"/>
        </w:rPr>
        <w:id w:val="-1909835108"/>
        <w:placeholder>
          <w:docPart w:val="014E6B3060114A33A6ABD64834609620"/>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hAnsi="宋体"/>
          <w:sz w:val="28"/>
          <w:szCs w:val="24"/>
        </w:rPr>
      </w:sdtEndPr>
      <w:sdtContent>
        <w:p w14:paraId="278C75D7">
          <w:pPr>
            <w:pStyle w:val="34"/>
            <w:spacing w:line="360" w:lineRule="auto"/>
            <w:ind w:firstLine="560"/>
            <w:rPr>
              <w:rFonts w:hAnsi="宋体"/>
              <w:sz w:val="28"/>
              <w:szCs w:val="24"/>
            </w:rPr>
          </w:pPr>
          <w:bookmarkStart w:id="27" w:name="_Toc26986532"/>
          <w:bookmarkEnd w:id="27"/>
          <w:r>
            <w:rPr>
              <w:rFonts w:hAnsi="宋体"/>
              <w:sz w:val="28"/>
              <w:szCs w:val="24"/>
            </w:rPr>
            <w:t>下列术语和定义适用于本文件。</w:t>
          </w:r>
        </w:p>
      </w:sdtContent>
    </w:sdt>
    <w:p w14:paraId="52918887">
      <w:pPr>
        <w:pStyle w:val="62"/>
        <w:numPr>
          <w:ilvl w:val="2"/>
          <w:numId w:val="2"/>
        </w:numPr>
        <w:spacing w:line="360" w:lineRule="auto"/>
        <w:ind w:left="560" w:hanging="560" w:hangingChars="200"/>
        <w:rPr>
          <w:rFonts w:hint="eastAsia" w:hAnsi="宋体"/>
          <w:sz w:val="28"/>
          <w:szCs w:val="24"/>
        </w:rPr>
      </w:pPr>
      <w:r>
        <w:rPr>
          <w:rFonts w:hAnsi="宋体"/>
          <w:sz w:val="28"/>
          <w:szCs w:val="24"/>
        </w:rPr>
        <w:br w:type="textWrapping"/>
      </w:r>
      <w:r>
        <w:rPr>
          <w:rFonts w:hint="eastAsia" w:hAnsi="宋体"/>
          <w:sz w:val="28"/>
          <w:szCs w:val="24"/>
        </w:rPr>
        <w:t xml:space="preserve">刹车盘盖板 </w:t>
      </w:r>
      <w:r>
        <w:rPr>
          <w:rFonts w:hAnsi="宋体"/>
          <w:sz w:val="28"/>
          <w:szCs w:val="24"/>
        </w:rPr>
        <w:t>brake disc cover</w:t>
      </w:r>
    </w:p>
    <w:p w14:paraId="342F9190">
      <w:pPr>
        <w:pStyle w:val="34"/>
        <w:spacing w:line="360" w:lineRule="auto"/>
        <w:ind w:firstLine="560"/>
        <w:rPr>
          <w:rFonts w:hAnsi="宋体"/>
          <w:sz w:val="28"/>
          <w:szCs w:val="24"/>
        </w:rPr>
      </w:pPr>
      <w:r>
        <w:rPr>
          <w:rFonts w:hint="eastAsia" w:hAnsi="宋体"/>
          <w:sz w:val="28"/>
          <w:szCs w:val="24"/>
        </w:rPr>
        <w:t>是指车辆制动系统中覆盖于刹车盘外部的关键部件，其主要功能在于优化制动系统的空气流动以辅助散热、阻隔制动产生的高温对周边部件的影响，并防止道路泥水、砂石等异物冲击刹车盘。该产品通常由金属板材（如钢板）经过冲压、金加工、表面清洗、喷塑烘烤等工艺制成；或由工程塑料（如PE、PP）通过烘干、注塑/吹塑等工艺成型。</w:t>
      </w:r>
    </w:p>
    <w:p w14:paraId="1FF01815">
      <w:pPr>
        <w:pStyle w:val="62"/>
        <w:numPr>
          <w:ilvl w:val="2"/>
          <w:numId w:val="2"/>
        </w:numPr>
        <w:spacing w:line="360" w:lineRule="auto"/>
        <w:ind w:left="560" w:hanging="560" w:hangingChars="200"/>
        <w:rPr>
          <w:rFonts w:hint="eastAsia" w:hAnsi="宋体"/>
          <w:sz w:val="28"/>
          <w:szCs w:val="24"/>
        </w:rPr>
      </w:pPr>
      <w:r>
        <w:rPr>
          <w:rFonts w:hAnsi="宋体"/>
          <w:sz w:val="28"/>
          <w:szCs w:val="24"/>
        </w:rPr>
        <w:br w:type="textWrapping"/>
      </w:r>
      <w:r>
        <w:rPr>
          <w:rFonts w:hint="eastAsia" w:hAnsi="宋体"/>
          <w:sz w:val="28"/>
          <w:szCs w:val="24"/>
        </w:rPr>
        <w:t>温室气体 greenhouse gas; GHG</w:t>
      </w:r>
    </w:p>
    <w:p w14:paraId="58D89E24">
      <w:pPr>
        <w:pStyle w:val="34"/>
        <w:spacing w:line="360" w:lineRule="auto"/>
        <w:ind w:firstLine="560"/>
        <w:rPr>
          <w:rFonts w:hAnsi="宋体"/>
          <w:sz w:val="28"/>
          <w:szCs w:val="24"/>
        </w:rPr>
      </w:pPr>
      <w:r>
        <w:rPr>
          <w:rFonts w:hint="eastAsia" w:hAnsi="宋体"/>
          <w:sz w:val="28"/>
          <w:szCs w:val="24"/>
        </w:rPr>
        <w:t>大气层中自然存在的和由于人类活动产生的能够吸收和散发地球表面、大气层和云层所产生的、波长在红外光谱内辐射的气态成分。</w:t>
      </w:r>
    </w:p>
    <w:p w14:paraId="0937B3FB">
      <w:pPr>
        <w:pStyle w:val="34"/>
        <w:spacing w:line="360" w:lineRule="auto"/>
        <w:ind w:firstLine="560"/>
        <w:rPr>
          <w:rFonts w:hAnsi="宋体"/>
          <w:sz w:val="28"/>
          <w:szCs w:val="24"/>
        </w:rPr>
      </w:pPr>
      <w:r>
        <w:rPr>
          <w:rFonts w:hint="eastAsia" w:hAnsi="宋体"/>
          <w:sz w:val="28"/>
          <w:szCs w:val="24"/>
        </w:rPr>
        <w:t>[来源:GB/T 24067-2024,3.2.1]</w:t>
      </w:r>
    </w:p>
    <w:p w14:paraId="3900630D">
      <w:pPr>
        <w:pStyle w:val="62"/>
        <w:numPr>
          <w:ilvl w:val="2"/>
          <w:numId w:val="2"/>
        </w:numPr>
        <w:spacing w:line="360" w:lineRule="auto"/>
        <w:ind w:left="560" w:hanging="560" w:hangingChars="200"/>
        <w:rPr>
          <w:rFonts w:hint="eastAsia" w:hAnsi="宋体"/>
          <w:sz w:val="28"/>
          <w:szCs w:val="24"/>
        </w:rPr>
      </w:pPr>
      <w:r>
        <w:rPr>
          <w:rFonts w:hAnsi="宋体"/>
          <w:sz w:val="28"/>
          <w:szCs w:val="24"/>
        </w:rPr>
        <w:br w:type="textWrapping"/>
      </w:r>
      <w:r>
        <w:rPr>
          <w:rFonts w:hint="eastAsia" w:hAnsi="宋体"/>
          <w:sz w:val="28"/>
          <w:szCs w:val="24"/>
        </w:rPr>
        <w:t>二氧化碳当量carbon dioxide equivalent; CO</w:t>
      </w:r>
      <w:r>
        <w:rPr>
          <w:rFonts w:hint="eastAsia" w:hAnsi="宋体"/>
          <w:sz w:val="28"/>
          <w:szCs w:val="24"/>
          <w:vertAlign w:val="subscript"/>
        </w:rPr>
        <w:t>2</w:t>
      </w:r>
      <w:r>
        <w:rPr>
          <w:rFonts w:hint="eastAsia" w:hAnsi="宋体"/>
          <w:sz w:val="28"/>
          <w:szCs w:val="24"/>
        </w:rPr>
        <w:t>e</w:t>
      </w:r>
    </w:p>
    <w:p w14:paraId="5EE4AC68">
      <w:pPr>
        <w:pStyle w:val="34"/>
        <w:spacing w:line="360" w:lineRule="auto"/>
        <w:ind w:firstLine="560"/>
        <w:rPr>
          <w:rFonts w:hAnsi="宋体"/>
          <w:sz w:val="28"/>
          <w:szCs w:val="24"/>
        </w:rPr>
      </w:pPr>
      <w:r>
        <w:rPr>
          <w:rFonts w:hint="eastAsia" w:hAnsi="宋体"/>
          <w:sz w:val="28"/>
          <w:szCs w:val="24"/>
        </w:rPr>
        <w:t>比较某种温室气体与二氧化碳的辐射强迫的单位。</w:t>
      </w:r>
    </w:p>
    <w:p w14:paraId="05B704F3">
      <w:pPr>
        <w:pStyle w:val="56"/>
        <w:spacing w:line="360" w:lineRule="auto"/>
        <w:rPr>
          <w:rFonts w:hAnsi="宋体"/>
          <w:sz w:val="22"/>
          <w:szCs w:val="22"/>
        </w:rPr>
      </w:pPr>
      <w:r>
        <w:rPr>
          <w:rFonts w:hint="eastAsia" w:hAnsi="宋体"/>
          <w:sz w:val="22"/>
          <w:szCs w:val="22"/>
        </w:rPr>
        <w:t>给定温室气体的二氧化碳当量等于该温室气体质量乘以它的全球变暖潜势值。</w:t>
      </w:r>
    </w:p>
    <w:p w14:paraId="594598B8">
      <w:pPr>
        <w:pStyle w:val="34"/>
        <w:spacing w:line="360" w:lineRule="auto"/>
        <w:ind w:firstLine="560"/>
        <w:rPr>
          <w:rFonts w:hAnsi="宋体"/>
          <w:sz w:val="28"/>
          <w:szCs w:val="24"/>
        </w:rPr>
      </w:pPr>
      <w:r>
        <w:rPr>
          <w:rFonts w:hint="eastAsia" w:hAnsi="宋体"/>
          <w:sz w:val="28"/>
          <w:szCs w:val="24"/>
        </w:rPr>
        <w:t>[来源:GB/T 24067-2024,3.2.2]</w:t>
      </w:r>
    </w:p>
    <w:p w14:paraId="5E00BEC2">
      <w:pPr>
        <w:pStyle w:val="62"/>
        <w:numPr>
          <w:ilvl w:val="2"/>
          <w:numId w:val="2"/>
        </w:numPr>
        <w:spacing w:line="360" w:lineRule="auto"/>
        <w:ind w:left="560" w:hanging="560" w:hangingChars="200"/>
        <w:rPr>
          <w:rFonts w:hint="eastAsia" w:hAnsi="宋体"/>
          <w:sz w:val="28"/>
          <w:szCs w:val="24"/>
        </w:rPr>
      </w:pPr>
      <w:r>
        <w:rPr>
          <w:rFonts w:hAnsi="宋体"/>
          <w:sz w:val="28"/>
          <w:szCs w:val="24"/>
        </w:rPr>
        <w:br w:type="textWrapping"/>
      </w:r>
      <w:r>
        <w:rPr>
          <w:rFonts w:hint="eastAsia" w:hAnsi="宋体"/>
          <w:sz w:val="28"/>
          <w:szCs w:val="24"/>
        </w:rPr>
        <w:t>产品碳足迹Carbon footprint of a product; CFP</w:t>
      </w:r>
    </w:p>
    <w:p w14:paraId="5DA2F23D">
      <w:pPr>
        <w:pStyle w:val="34"/>
        <w:spacing w:line="360" w:lineRule="auto"/>
        <w:ind w:firstLine="560"/>
        <w:rPr>
          <w:rFonts w:hAnsi="宋体"/>
          <w:sz w:val="28"/>
          <w:szCs w:val="24"/>
        </w:rPr>
      </w:pPr>
      <w:r>
        <w:rPr>
          <w:rFonts w:hint="eastAsia" w:hAnsi="宋体"/>
          <w:sz w:val="28"/>
          <w:szCs w:val="24"/>
        </w:rPr>
        <w:t>产品系统中的GHG排放量和GHG清除量之和，以二氧化碳当量表示，并基于气候变化这一单一环境影响类型进行生命周期评价。</w:t>
      </w:r>
    </w:p>
    <w:p w14:paraId="4F33FF3A">
      <w:pPr>
        <w:pStyle w:val="57"/>
        <w:spacing w:line="360" w:lineRule="auto"/>
        <w:rPr>
          <w:rFonts w:hAnsi="宋体"/>
          <w:sz w:val="22"/>
          <w:szCs w:val="22"/>
        </w:rPr>
      </w:pPr>
      <w:r>
        <w:rPr>
          <w:rFonts w:hint="eastAsia" w:hAnsi="宋体"/>
          <w:sz w:val="22"/>
          <w:szCs w:val="22"/>
        </w:rPr>
        <w:t>产品碳足迹可用于不同的图类区分和标示具体的GHG排放量和清除量，产品碳足迹也可被分解到其他生命周期的各个阶段。</w:t>
      </w:r>
    </w:p>
    <w:p w14:paraId="18D33195">
      <w:pPr>
        <w:pStyle w:val="57"/>
        <w:spacing w:line="360" w:lineRule="auto"/>
        <w:rPr>
          <w:rFonts w:hAnsi="宋体"/>
          <w:sz w:val="22"/>
          <w:szCs w:val="22"/>
        </w:rPr>
      </w:pPr>
      <w:r>
        <w:rPr>
          <w:rFonts w:hint="eastAsia" w:hAnsi="宋体"/>
          <w:sz w:val="22"/>
          <w:szCs w:val="22"/>
        </w:rPr>
        <w:t>产品碳足迹研究报告中记录了产品碳足迹的量化结果，以每个声明单位的二氧化碳当量表示。</w:t>
      </w:r>
    </w:p>
    <w:p w14:paraId="7921EEFA">
      <w:pPr>
        <w:pStyle w:val="34"/>
        <w:spacing w:line="360" w:lineRule="auto"/>
        <w:ind w:firstLine="560"/>
        <w:rPr>
          <w:rFonts w:hAnsi="宋体"/>
          <w:sz w:val="28"/>
          <w:szCs w:val="24"/>
        </w:rPr>
      </w:pPr>
      <w:r>
        <w:rPr>
          <w:rFonts w:hint="eastAsia" w:hAnsi="宋体"/>
          <w:sz w:val="28"/>
          <w:szCs w:val="24"/>
        </w:rPr>
        <w:t>[来源:GB/T 24067-2024,3.1.1]</w:t>
      </w:r>
    </w:p>
    <w:p w14:paraId="25D9E276">
      <w:pPr>
        <w:pStyle w:val="62"/>
        <w:numPr>
          <w:ilvl w:val="2"/>
          <w:numId w:val="2"/>
        </w:numPr>
        <w:spacing w:line="360" w:lineRule="auto"/>
        <w:ind w:left="560" w:hanging="560" w:hangingChars="200"/>
        <w:rPr>
          <w:rFonts w:hint="eastAsia" w:hAnsi="宋体"/>
          <w:sz w:val="28"/>
          <w:szCs w:val="24"/>
        </w:rPr>
      </w:pPr>
      <w:r>
        <w:rPr>
          <w:rFonts w:hAnsi="宋体"/>
          <w:sz w:val="28"/>
          <w:szCs w:val="24"/>
        </w:rPr>
        <w:br w:type="textWrapping"/>
      </w:r>
      <w:r>
        <w:rPr>
          <w:rFonts w:hint="eastAsia" w:hAnsi="宋体"/>
          <w:sz w:val="28"/>
          <w:szCs w:val="24"/>
        </w:rPr>
        <w:t>声明单位declared unit</w:t>
      </w:r>
    </w:p>
    <w:p w14:paraId="32D1833D">
      <w:pPr>
        <w:pStyle w:val="34"/>
        <w:spacing w:line="360" w:lineRule="auto"/>
        <w:ind w:firstLine="560"/>
        <w:rPr>
          <w:rFonts w:hAnsi="宋体"/>
          <w:sz w:val="28"/>
          <w:szCs w:val="24"/>
        </w:rPr>
      </w:pPr>
      <w:r>
        <w:rPr>
          <w:rFonts w:hint="eastAsia" w:hAnsi="宋体"/>
          <w:sz w:val="28"/>
          <w:szCs w:val="24"/>
        </w:rPr>
        <w:t>用来量化产品部分碳足迹的基准单位。</w:t>
      </w:r>
    </w:p>
    <w:p w14:paraId="2AA481BF">
      <w:pPr>
        <w:pStyle w:val="34"/>
        <w:spacing w:line="360" w:lineRule="auto"/>
        <w:ind w:firstLine="560"/>
        <w:rPr>
          <w:rFonts w:hAnsi="宋体"/>
          <w:sz w:val="28"/>
          <w:szCs w:val="24"/>
        </w:rPr>
      </w:pPr>
      <w:r>
        <w:rPr>
          <w:rFonts w:hint="eastAsia" w:hAnsi="宋体"/>
          <w:sz w:val="28"/>
          <w:szCs w:val="24"/>
        </w:rPr>
        <w:t>[来源:GB/T 24067-2024，3.3.8]</w:t>
      </w:r>
    </w:p>
    <w:p w14:paraId="041233EA">
      <w:pPr>
        <w:pStyle w:val="62"/>
        <w:numPr>
          <w:ilvl w:val="2"/>
          <w:numId w:val="2"/>
        </w:numPr>
        <w:spacing w:line="360" w:lineRule="auto"/>
        <w:ind w:left="560" w:hanging="560" w:hangingChars="200"/>
        <w:rPr>
          <w:rFonts w:hint="eastAsia" w:hAnsi="宋体"/>
          <w:sz w:val="28"/>
          <w:szCs w:val="24"/>
        </w:rPr>
      </w:pPr>
      <w:r>
        <w:rPr>
          <w:rFonts w:hAnsi="宋体"/>
          <w:sz w:val="28"/>
          <w:szCs w:val="24"/>
        </w:rPr>
        <w:br w:type="textWrapping"/>
      </w:r>
      <w:r>
        <w:rPr>
          <w:rFonts w:hint="eastAsia" w:hAnsi="宋体"/>
          <w:sz w:val="28"/>
          <w:szCs w:val="24"/>
        </w:rPr>
        <w:t>单元过程unit process</w:t>
      </w:r>
    </w:p>
    <w:p w14:paraId="495E3BF9">
      <w:pPr>
        <w:pStyle w:val="34"/>
        <w:spacing w:line="360" w:lineRule="auto"/>
        <w:ind w:firstLine="560"/>
        <w:rPr>
          <w:rFonts w:hAnsi="宋体"/>
          <w:sz w:val="28"/>
          <w:szCs w:val="24"/>
        </w:rPr>
      </w:pPr>
      <w:r>
        <w:rPr>
          <w:rFonts w:hint="eastAsia" w:hAnsi="宋体"/>
          <w:sz w:val="28"/>
          <w:szCs w:val="24"/>
        </w:rPr>
        <w:t>进行生命周期清单分析时为量化输入和输出数据而确定的最基本部分。</w:t>
      </w:r>
    </w:p>
    <w:p w14:paraId="3F2FA07D">
      <w:pPr>
        <w:pStyle w:val="34"/>
        <w:spacing w:line="360" w:lineRule="auto"/>
        <w:ind w:firstLine="560"/>
        <w:rPr>
          <w:rFonts w:hAnsi="宋体"/>
          <w:sz w:val="28"/>
          <w:szCs w:val="24"/>
        </w:rPr>
      </w:pPr>
      <w:r>
        <w:rPr>
          <w:rFonts w:hint="eastAsia" w:hAnsi="宋体"/>
          <w:sz w:val="28"/>
          <w:szCs w:val="24"/>
        </w:rPr>
        <w:t>[来源:GB/T 24067-2024，3.3.6]</w:t>
      </w:r>
    </w:p>
    <w:p w14:paraId="212CBDDE">
      <w:pPr>
        <w:pStyle w:val="62"/>
        <w:numPr>
          <w:ilvl w:val="2"/>
          <w:numId w:val="2"/>
        </w:numPr>
        <w:spacing w:line="360" w:lineRule="auto"/>
        <w:ind w:left="560" w:hanging="560" w:hangingChars="200"/>
        <w:rPr>
          <w:rFonts w:hint="eastAsia" w:hAnsi="宋体"/>
          <w:sz w:val="28"/>
          <w:szCs w:val="24"/>
        </w:rPr>
      </w:pPr>
      <w:r>
        <w:rPr>
          <w:rFonts w:hAnsi="宋体"/>
          <w:sz w:val="28"/>
          <w:szCs w:val="24"/>
        </w:rPr>
        <w:br w:type="textWrapping"/>
      </w:r>
      <w:r>
        <w:rPr>
          <w:rFonts w:hint="eastAsia" w:hAnsi="宋体"/>
          <w:sz w:val="28"/>
          <w:szCs w:val="24"/>
        </w:rPr>
        <w:t>取舍准则cut-off criteria</w:t>
      </w:r>
    </w:p>
    <w:p w14:paraId="4C7CBB0D">
      <w:pPr>
        <w:pStyle w:val="34"/>
        <w:spacing w:line="360" w:lineRule="auto"/>
        <w:ind w:firstLine="560"/>
        <w:rPr>
          <w:rFonts w:hAnsi="宋体"/>
          <w:sz w:val="28"/>
          <w:szCs w:val="24"/>
        </w:rPr>
      </w:pPr>
      <w:r>
        <w:rPr>
          <w:rFonts w:hint="eastAsia" w:hAnsi="宋体"/>
          <w:sz w:val="28"/>
          <w:szCs w:val="24"/>
        </w:rPr>
        <w:t>对与单元过程或产品系统相关的物质和能量流的数量或环境影响重要性程度是否被排除在研究范围之外所作出的规定。</w:t>
      </w:r>
    </w:p>
    <w:p w14:paraId="6820AD8C">
      <w:pPr>
        <w:pStyle w:val="56"/>
        <w:spacing w:line="360" w:lineRule="auto"/>
        <w:rPr>
          <w:rFonts w:hAnsi="宋体"/>
          <w:sz w:val="22"/>
          <w:szCs w:val="22"/>
        </w:rPr>
      </w:pPr>
      <w:r>
        <w:rPr>
          <w:rFonts w:hint="eastAsia" w:hAnsi="宋体"/>
          <w:sz w:val="22"/>
          <w:szCs w:val="22"/>
        </w:rPr>
        <w:t xml:space="preserve"> “能量流”的定义见GB/T 24040-2008，3.13。</w:t>
      </w:r>
    </w:p>
    <w:p w14:paraId="48AECD2B">
      <w:pPr>
        <w:pStyle w:val="34"/>
        <w:spacing w:line="360" w:lineRule="auto"/>
        <w:ind w:firstLine="560"/>
        <w:rPr>
          <w:rFonts w:hAnsi="宋体"/>
          <w:sz w:val="28"/>
          <w:szCs w:val="24"/>
        </w:rPr>
      </w:pPr>
      <w:r>
        <w:rPr>
          <w:rFonts w:hint="eastAsia" w:hAnsi="宋体"/>
          <w:sz w:val="28"/>
          <w:szCs w:val="24"/>
        </w:rPr>
        <w:t>[来源:GB/T 24067-2024，3.4.1]</w:t>
      </w:r>
    </w:p>
    <w:p w14:paraId="7501C761">
      <w:pPr>
        <w:pStyle w:val="62"/>
        <w:numPr>
          <w:ilvl w:val="2"/>
          <w:numId w:val="2"/>
        </w:numPr>
        <w:spacing w:line="360" w:lineRule="auto"/>
        <w:ind w:left="560" w:hanging="560" w:hangingChars="200"/>
        <w:rPr>
          <w:rFonts w:hint="eastAsia" w:hAnsi="宋体"/>
          <w:sz w:val="28"/>
          <w:szCs w:val="24"/>
        </w:rPr>
      </w:pPr>
      <w:r>
        <w:rPr>
          <w:rFonts w:hAnsi="宋体"/>
          <w:sz w:val="28"/>
          <w:szCs w:val="24"/>
        </w:rPr>
        <w:br w:type="textWrapping"/>
      </w:r>
      <w:r>
        <w:rPr>
          <w:rFonts w:hint="eastAsia" w:hAnsi="宋体"/>
          <w:sz w:val="28"/>
          <w:szCs w:val="24"/>
        </w:rPr>
        <w:t>分配 allocation</w:t>
      </w:r>
    </w:p>
    <w:p w14:paraId="604ACF7E">
      <w:pPr>
        <w:pStyle w:val="34"/>
        <w:spacing w:line="360" w:lineRule="auto"/>
        <w:ind w:firstLine="560"/>
        <w:rPr>
          <w:rFonts w:hAnsi="宋体"/>
          <w:sz w:val="28"/>
          <w:szCs w:val="24"/>
        </w:rPr>
      </w:pPr>
      <w:r>
        <w:rPr>
          <w:rFonts w:hint="eastAsia" w:hAnsi="宋体"/>
          <w:sz w:val="28"/>
          <w:szCs w:val="24"/>
        </w:rPr>
        <w:t>将过程或产品系统中的输入和输出流划分到所研究的产品系统以及一个或更多的其他产品系统中。</w:t>
      </w:r>
    </w:p>
    <w:p w14:paraId="31070D56">
      <w:pPr>
        <w:pStyle w:val="34"/>
        <w:spacing w:line="360" w:lineRule="auto"/>
        <w:ind w:firstLine="560"/>
        <w:rPr>
          <w:rFonts w:hAnsi="宋体"/>
          <w:sz w:val="28"/>
          <w:szCs w:val="24"/>
        </w:rPr>
      </w:pPr>
      <w:r>
        <w:rPr>
          <w:rFonts w:hint="eastAsia" w:hAnsi="宋体"/>
          <w:sz w:val="28"/>
          <w:szCs w:val="24"/>
        </w:rPr>
        <w:t>[来源:GB/T 24040-2008，3.17]</w:t>
      </w:r>
    </w:p>
    <w:p w14:paraId="769759AE">
      <w:pPr>
        <w:pStyle w:val="62"/>
        <w:numPr>
          <w:ilvl w:val="2"/>
          <w:numId w:val="2"/>
        </w:numPr>
        <w:spacing w:line="360" w:lineRule="auto"/>
        <w:ind w:left="560" w:hanging="560" w:hangingChars="200"/>
        <w:rPr>
          <w:rFonts w:hint="eastAsia" w:hAnsi="宋体"/>
          <w:sz w:val="28"/>
          <w:szCs w:val="24"/>
        </w:rPr>
      </w:pPr>
      <w:r>
        <w:rPr>
          <w:rFonts w:hAnsi="宋体"/>
          <w:sz w:val="28"/>
          <w:szCs w:val="24"/>
        </w:rPr>
        <w:br w:type="textWrapping"/>
      </w:r>
      <w:r>
        <w:rPr>
          <w:rFonts w:hint="eastAsia" w:hAnsi="宋体"/>
          <w:sz w:val="28"/>
          <w:szCs w:val="24"/>
        </w:rPr>
        <w:t>初级数据 primary data</w:t>
      </w:r>
    </w:p>
    <w:p w14:paraId="27586651">
      <w:pPr>
        <w:pStyle w:val="34"/>
        <w:spacing w:line="360" w:lineRule="auto"/>
        <w:ind w:firstLine="560"/>
        <w:rPr>
          <w:rFonts w:hAnsi="宋体"/>
          <w:sz w:val="28"/>
          <w:szCs w:val="24"/>
        </w:rPr>
      </w:pPr>
      <w:r>
        <w:rPr>
          <w:rFonts w:hint="eastAsia" w:hAnsi="宋体"/>
          <w:sz w:val="28"/>
          <w:szCs w:val="24"/>
        </w:rPr>
        <w:t>通过直接测量或基于直接测量的计算而得到的过程或活动的量化值。</w:t>
      </w:r>
    </w:p>
    <w:p w14:paraId="0559FFE1">
      <w:pPr>
        <w:pStyle w:val="57"/>
        <w:numPr>
          <w:ilvl w:val="0"/>
          <w:numId w:val="10"/>
        </w:numPr>
        <w:spacing w:line="360" w:lineRule="auto"/>
        <w:rPr>
          <w:rFonts w:hAnsi="宋体"/>
          <w:sz w:val="22"/>
          <w:szCs w:val="22"/>
        </w:rPr>
      </w:pPr>
      <w:r>
        <w:rPr>
          <w:rFonts w:hint="eastAsia" w:hAnsi="宋体"/>
          <w:sz w:val="22"/>
          <w:szCs w:val="22"/>
        </w:rPr>
        <w:t>初级数据并非必须来自所研究的产品系统，因为初级数据可能涉及其他与所研究的产品系统具有可比性的产品系统。</w:t>
      </w:r>
    </w:p>
    <w:p w14:paraId="68BA1508">
      <w:pPr>
        <w:pStyle w:val="57"/>
        <w:numPr>
          <w:ilvl w:val="0"/>
          <w:numId w:val="10"/>
        </w:numPr>
        <w:spacing w:line="360" w:lineRule="auto"/>
        <w:rPr>
          <w:rFonts w:hAnsi="宋体"/>
          <w:sz w:val="22"/>
          <w:szCs w:val="22"/>
        </w:rPr>
      </w:pPr>
      <w:r>
        <w:rPr>
          <w:rFonts w:hint="eastAsia" w:hAnsi="宋体"/>
          <w:sz w:val="22"/>
          <w:szCs w:val="22"/>
        </w:rPr>
        <w:t>初级数据可以包含温室气体排放因子和或温室气体活动数据。</w:t>
      </w:r>
    </w:p>
    <w:p w14:paraId="45C5B9E2">
      <w:pPr>
        <w:pStyle w:val="34"/>
        <w:spacing w:line="360" w:lineRule="auto"/>
        <w:ind w:firstLine="560"/>
        <w:rPr>
          <w:rFonts w:hAnsi="宋体"/>
          <w:sz w:val="28"/>
          <w:szCs w:val="24"/>
        </w:rPr>
      </w:pPr>
      <w:r>
        <w:rPr>
          <w:rFonts w:hint="eastAsia" w:hAnsi="宋体"/>
          <w:sz w:val="28"/>
          <w:szCs w:val="24"/>
        </w:rPr>
        <w:t>[来源:GB/T 24067-2024，3.6.1]</w:t>
      </w:r>
    </w:p>
    <w:p w14:paraId="4D78F51B">
      <w:pPr>
        <w:pStyle w:val="62"/>
        <w:numPr>
          <w:ilvl w:val="2"/>
          <w:numId w:val="2"/>
        </w:numPr>
        <w:spacing w:line="360" w:lineRule="auto"/>
        <w:ind w:left="560" w:hanging="560" w:hangingChars="200"/>
        <w:rPr>
          <w:rFonts w:hint="eastAsia" w:hAnsi="宋体"/>
          <w:sz w:val="28"/>
          <w:szCs w:val="24"/>
        </w:rPr>
      </w:pPr>
      <w:r>
        <w:rPr>
          <w:rFonts w:hAnsi="宋体"/>
          <w:sz w:val="28"/>
          <w:szCs w:val="24"/>
        </w:rPr>
        <w:br w:type="textWrapping"/>
      </w:r>
      <w:r>
        <w:rPr>
          <w:rFonts w:hint="eastAsia" w:hAnsi="宋体"/>
          <w:sz w:val="28"/>
          <w:szCs w:val="24"/>
        </w:rPr>
        <w:t>次级数据 secondary data</w:t>
      </w:r>
      <w:r>
        <w:rPr>
          <w:rFonts w:hint="eastAsia" w:hAnsi="宋体"/>
          <w:sz w:val="28"/>
          <w:szCs w:val="24"/>
        </w:rPr>
        <w:tab/>
      </w:r>
    </w:p>
    <w:p w14:paraId="345FFD21">
      <w:pPr>
        <w:pStyle w:val="34"/>
        <w:spacing w:line="360" w:lineRule="auto"/>
        <w:ind w:firstLine="560"/>
        <w:rPr>
          <w:rFonts w:hAnsi="宋体"/>
          <w:sz w:val="28"/>
          <w:szCs w:val="24"/>
        </w:rPr>
      </w:pPr>
      <w:r>
        <w:rPr>
          <w:rFonts w:hint="eastAsia" w:hAnsi="宋体"/>
          <w:sz w:val="28"/>
          <w:szCs w:val="24"/>
        </w:rPr>
        <w:t>不符合初级数据要求的数据。</w:t>
      </w:r>
    </w:p>
    <w:p w14:paraId="617E992D">
      <w:pPr>
        <w:pStyle w:val="57"/>
        <w:numPr>
          <w:ilvl w:val="0"/>
          <w:numId w:val="11"/>
        </w:numPr>
        <w:spacing w:line="360" w:lineRule="auto"/>
        <w:rPr>
          <w:rFonts w:hAnsi="宋体"/>
          <w:sz w:val="22"/>
          <w:szCs w:val="22"/>
        </w:rPr>
      </w:pPr>
      <w:r>
        <w:rPr>
          <w:rFonts w:hint="eastAsia" w:hAnsi="宋体"/>
          <w:sz w:val="22"/>
          <w:szCs w:val="22"/>
        </w:rPr>
        <w:t>次级数据是经权威机构验证且具有可信度的数据，可来源于数据库、公开文献、国家排放因子、计算估算数据或其他具有代表性的数据，推荐使用本土化数据库。</w:t>
      </w:r>
    </w:p>
    <w:p w14:paraId="50C74A68">
      <w:pPr>
        <w:pStyle w:val="57"/>
        <w:spacing w:line="360" w:lineRule="auto"/>
        <w:rPr>
          <w:rFonts w:hAnsi="宋体"/>
          <w:sz w:val="22"/>
          <w:szCs w:val="22"/>
        </w:rPr>
      </w:pPr>
      <w:r>
        <w:rPr>
          <w:rFonts w:hint="eastAsia" w:hAnsi="宋体"/>
          <w:sz w:val="22"/>
          <w:szCs w:val="22"/>
        </w:rPr>
        <w:t>次级数据可包括从代替过程或估计获得的数据。</w:t>
      </w:r>
    </w:p>
    <w:p w14:paraId="087E69AD">
      <w:pPr>
        <w:pStyle w:val="34"/>
        <w:spacing w:line="360" w:lineRule="auto"/>
        <w:ind w:firstLine="560"/>
        <w:rPr>
          <w:rFonts w:hAnsi="宋体"/>
          <w:sz w:val="28"/>
          <w:szCs w:val="24"/>
        </w:rPr>
      </w:pPr>
      <w:r>
        <w:rPr>
          <w:rFonts w:hint="eastAsia" w:hAnsi="宋体"/>
          <w:sz w:val="28"/>
          <w:szCs w:val="24"/>
        </w:rPr>
        <w:t>[来源:GB/T 24067-2024，3.6.3]</w:t>
      </w:r>
    </w:p>
    <w:p w14:paraId="74A8C8EB">
      <w:pPr>
        <w:pStyle w:val="47"/>
        <w:spacing w:before="0" w:beforeLines="0" w:after="0" w:afterLines="0" w:line="360" w:lineRule="auto"/>
        <w:outlineLvl w:val="9"/>
        <w:rPr>
          <w:rFonts w:ascii="宋体" w:hAnsi="宋体" w:eastAsia="宋体"/>
          <w:sz w:val="28"/>
          <w:szCs w:val="28"/>
        </w:rPr>
      </w:pPr>
      <w:bookmarkStart w:id="28" w:name="_Toc173923029"/>
      <w:bookmarkStart w:id="29" w:name="_Toc174539485"/>
      <w:bookmarkStart w:id="30" w:name="_Toc167806923"/>
      <w:bookmarkStart w:id="31" w:name="_Toc212018399"/>
      <w:bookmarkStart w:id="32" w:name="_Toc174539311"/>
      <w:bookmarkStart w:id="33" w:name="_Toc179621228"/>
      <w:bookmarkStart w:id="34" w:name="_Toc212021795"/>
      <w:r>
        <w:rPr>
          <w:rFonts w:ascii="宋体" w:hAnsi="宋体" w:eastAsia="宋体"/>
          <w:sz w:val="28"/>
          <w:szCs w:val="24"/>
        </w:rPr>
        <w:t>原则</w:t>
      </w:r>
      <w:bookmarkEnd w:id="28"/>
      <w:bookmarkEnd w:id="29"/>
      <w:bookmarkEnd w:id="30"/>
      <w:bookmarkEnd w:id="31"/>
      <w:bookmarkEnd w:id="32"/>
      <w:bookmarkEnd w:id="33"/>
      <w:bookmarkEnd w:id="34"/>
    </w:p>
    <w:p w14:paraId="0A30CC9F">
      <w:pPr>
        <w:pStyle w:val="48"/>
        <w:spacing w:before="0" w:beforeLines="0" w:after="0" w:afterLines="0" w:line="360" w:lineRule="auto"/>
        <w:outlineLvl w:val="9"/>
        <w:rPr>
          <w:rFonts w:ascii="宋体" w:hAnsi="宋体" w:eastAsia="宋体"/>
          <w:sz w:val="28"/>
          <w:szCs w:val="24"/>
        </w:rPr>
      </w:pPr>
      <w:r>
        <w:rPr>
          <w:rFonts w:ascii="宋体" w:hAnsi="宋体" w:eastAsia="宋体"/>
          <w:sz w:val="28"/>
          <w:szCs w:val="24"/>
        </w:rPr>
        <w:t>生命周期理念</w:t>
      </w:r>
    </w:p>
    <w:p w14:paraId="0D269CF2">
      <w:pPr>
        <w:pStyle w:val="34"/>
        <w:spacing w:line="360" w:lineRule="auto"/>
        <w:ind w:firstLine="560"/>
        <w:rPr>
          <w:rFonts w:hAnsi="宋体"/>
          <w:sz w:val="28"/>
          <w:szCs w:val="24"/>
        </w:rPr>
      </w:pPr>
      <w:r>
        <w:rPr>
          <w:rFonts w:hAnsi="宋体"/>
          <w:sz w:val="28"/>
          <w:szCs w:val="24"/>
        </w:rPr>
        <w:t>产品碳足迹的评价和通报应考虑产品生命周期的所原材料获取加工阶段、生产阶段、下游存储与分销阶段。</w:t>
      </w:r>
    </w:p>
    <w:p w14:paraId="1D5FB7B3">
      <w:pPr>
        <w:pStyle w:val="48"/>
        <w:spacing w:before="0" w:beforeLines="0" w:after="0" w:afterLines="0" w:line="360" w:lineRule="auto"/>
        <w:outlineLvl w:val="9"/>
        <w:rPr>
          <w:rFonts w:ascii="宋体" w:hAnsi="宋体" w:eastAsia="宋体"/>
          <w:sz w:val="28"/>
          <w:szCs w:val="24"/>
        </w:rPr>
      </w:pPr>
      <w:r>
        <w:rPr>
          <w:rFonts w:ascii="宋体" w:hAnsi="宋体" w:eastAsia="宋体"/>
          <w:sz w:val="28"/>
          <w:szCs w:val="24"/>
        </w:rPr>
        <w:t>相关性</w:t>
      </w:r>
    </w:p>
    <w:p w14:paraId="7C1701F3">
      <w:pPr>
        <w:pStyle w:val="34"/>
        <w:spacing w:line="360" w:lineRule="auto"/>
        <w:ind w:firstLine="560"/>
        <w:rPr>
          <w:rFonts w:hAnsi="宋体"/>
          <w:sz w:val="28"/>
          <w:szCs w:val="24"/>
        </w:rPr>
      </w:pPr>
      <w:r>
        <w:rPr>
          <w:rFonts w:hAnsi="宋体"/>
          <w:sz w:val="28"/>
          <w:szCs w:val="24"/>
        </w:rPr>
        <w:t>应选取适用于所评价产品系统温室气体排放与清除评价的数据与方法。</w:t>
      </w:r>
    </w:p>
    <w:p w14:paraId="19B2C2C3">
      <w:pPr>
        <w:pStyle w:val="48"/>
        <w:spacing w:before="0" w:beforeLines="0" w:after="0" w:afterLines="0" w:line="360" w:lineRule="auto"/>
        <w:outlineLvl w:val="9"/>
        <w:rPr>
          <w:rFonts w:ascii="宋体" w:hAnsi="宋体" w:eastAsia="宋体"/>
          <w:sz w:val="28"/>
          <w:szCs w:val="24"/>
        </w:rPr>
      </w:pPr>
      <w:r>
        <w:rPr>
          <w:rFonts w:ascii="宋体" w:hAnsi="宋体" w:eastAsia="宋体"/>
          <w:sz w:val="28"/>
          <w:szCs w:val="24"/>
        </w:rPr>
        <w:t>完整性</w:t>
      </w:r>
    </w:p>
    <w:p w14:paraId="79E67380">
      <w:pPr>
        <w:pStyle w:val="34"/>
        <w:spacing w:line="360" w:lineRule="auto"/>
        <w:ind w:firstLine="560"/>
        <w:rPr>
          <w:rFonts w:hAnsi="宋体"/>
          <w:sz w:val="28"/>
          <w:szCs w:val="24"/>
        </w:rPr>
      </w:pPr>
      <w:r>
        <w:rPr>
          <w:rFonts w:hAnsi="宋体"/>
          <w:sz w:val="28"/>
          <w:szCs w:val="24"/>
        </w:rPr>
        <w:t>产品碳足迹评价应包括对产品碳足迹有实质性的所有温室气体的排放与清除。</w:t>
      </w:r>
    </w:p>
    <w:p w14:paraId="18E9EC57">
      <w:pPr>
        <w:pStyle w:val="48"/>
        <w:spacing w:before="0" w:beforeLines="0" w:after="0" w:afterLines="0" w:line="360" w:lineRule="auto"/>
        <w:outlineLvl w:val="9"/>
        <w:rPr>
          <w:rFonts w:ascii="宋体" w:hAnsi="宋体" w:eastAsia="宋体"/>
          <w:sz w:val="28"/>
          <w:szCs w:val="24"/>
        </w:rPr>
      </w:pPr>
      <w:r>
        <w:rPr>
          <w:rFonts w:ascii="宋体" w:hAnsi="宋体" w:eastAsia="宋体"/>
          <w:sz w:val="28"/>
          <w:szCs w:val="24"/>
        </w:rPr>
        <w:t>一致性</w:t>
      </w:r>
    </w:p>
    <w:p w14:paraId="611C7C60">
      <w:pPr>
        <w:pStyle w:val="34"/>
        <w:spacing w:line="360" w:lineRule="auto"/>
        <w:ind w:firstLine="560"/>
        <w:rPr>
          <w:rFonts w:hAnsi="宋体"/>
          <w:sz w:val="28"/>
          <w:szCs w:val="24"/>
        </w:rPr>
      </w:pPr>
      <w:r>
        <w:rPr>
          <w:rFonts w:hAnsi="宋体"/>
          <w:sz w:val="28"/>
          <w:szCs w:val="24"/>
        </w:rPr>
        <w:t>在产品碳足迹评价的整个过程中应采用相同的假设、方法和数据。</w:t>
      </w:r>
    </w:p>
    <w:p w14:paraId="1CDC669D">
      <w:pPr>
        <w:pStyle w:val="48"/>
        <w:spacing w:before="0" w:beforeLines="0" w:after="0" w:afterLines="0" w:line="360" w:lineRule="auto"/>
        <w:outlineLvl w:val="9"/>
        <w:rPr>
          <w:rFonts w:ascii="宋体" w:hAnsi="宋体" w:eastAsia="宋体"/>
          <w:sz w:val="28"/>
          <w:szCs w:val="24"/>
        </w:rPr>
      </w:pPr>
      <w:r>
        <w:rPr>
          <w:rFonts w:ascii="宋体" w:hAnsi="宋体" w:eastAsia="宋体"/>
          <w:sz w:val="28"/>
          <w:szCs w:val="24"/>
        </w:rPr>
        <w:t>统一性</w:t>
      </w:r>
    </w:p>
    <w:p w14:paraId="4E59528D">
      <w:pPr>
        <w:pStyle w:val="34"/>
        <w:spacing w:line="360" w:lineRule="auto"/>
        <w:ind w:firstLine="560"/>
        <w:rPr>
          <w:rFonts w:hAnsi="宋体"/>
          <w:sz w:val="28"/>
          <w:szCs w:val="24"/>
        </w:rPr>
      </w:pPr>
      <w:r>
        <w:rPr>
          <w:rFonts w:hAnsi="宋体"/>
          <w:sz w:val="28"/>
          <w:szCs w:val="24"/>
        </w:rPr>
        <w:t>应选取的产品种类中已被认可和采用的方法学、标准和指导性文件。</w:t>
      </w:r>
    </w:p>
    <w:p w14:paraId="53C0C9EE">
      <w:pPr>
        <w:pStyle w:val="48"/>
        <w:spacing w:before="0" w:beforeLines="0" w:after="0" w:afterLines="0" w:line="360" w:lineRule="auto"/>
        <w:outlineLvl w:val="9"/>
        <w:rPr>
          <w:rFonts w:ascii="宋体" w:hAnsi="宋体" w:eastAsia="宋体"/>
          <w:sz w:val="28"/>
          <w:szCs w:val="24"/>
        </w:rPr>
      </w:pPr>
      <w:r>
        <w:rPr>
          <w:rFonts w:ascii="宋体" w:hAnsi="宋体" w:eastAsia="宋体"/>
          <w:sz w:val="28"/>
          <w:szCs w:val="24"/>
        </w:rPr>
        <w:t>准确性</w:t>
      </w:r>
    </w:p>
    <w:p w14:paraId="260FA014">
      <w:pPr>
        <w:pStyle w:val="34"/>
        <w:spacing w:line="360" w:lineRule="auto"/>
        <w:ind w:firstLine="560"/>
        <w:rPr>
          <w:rFonts w:hAnsi="宋体"/>
          <w:sz w:val="28"/>
          <w:szCs w:val="24"/>
        </w:rPr>
      </w:pPr>
      <w:r>
        <w:rPr>
          <w:rFonts w:hAnsi="宋体"/>
          <w:sz w:val="28"/>
          <w:szCs w:val="24"/>
        </w:rPr>
        <w:t>应确保产品碳足迹量化和通报是准确的、可核证的、相关的、无误导的，并尽可能减少偏差和不确定性。</w:t>
      </w:r>
    </w:p>
    <w:p w14:paraId="407CF954">
      <w:pPr>
        <w:pStyle w:val="48"/>
        <w:spacing w:before="0" w:beforeLines="0" w:after="0" w:afterLines="0" w:line="360" w:lineRule="auto"/>
        <w:outlineLvl w:val="9"/>
        <w:rPr>
          <w:rFonts w:ascii="宋体" w:hAnsi="宋体" w:eastAsia="宋体"/>
          <w:sz w:val="28"/>
          <w:szCs w:val="24"/>
        </w:rPr>
      </w:pPr>
      <w:r>
        <w:rPr>
          <w:rFonts w:ascii="宋体" w:hAnsi="宋体" w:eastAsia="宋体"/>
          <w:sz w:val="28"/>
          <w:szCs w:val="24"/>
        </w:rPr>
        <w:t>透明性</w:t>
      </w:r>
    </w:p>
    <w:p w14:paraId="1575F218">
      <w:pPr>
        <w:pStyle w:val="53"/>
        <w:spacing w:line="360" w:lineRule="auto"/>
        <w:rPr>
          <w:rFonts w:hAnsi="宋体"/>
          <w:sz w:val="28"/>
          <w:szCs w:val="24"/>
        </w:rPr>
      </w:pPr>
      <w:r>
        <w:rPr>
          <w:rFonts w:hAnsi="宋体"/>
          <w:sz w:val="28"/>
          <w:szCs w:val="24"/>
        </w:rPr>
        <w:t>所用相关问题的记录应以公开的方式来呈现。</w:t>
      </w:r>
    </w:p>
    <w:p w14:paraId="68D54FBE">
      <w:pPr>
        <w:pStyle w:val="53"/>
        <w:spacing w:line="360" w:lineRule="auto"/>
        <w:rPr>
          <w:rFonts w:hAnsi="宋体"/>
          <w:sz w:val="28"/>
          <w:szCs w:val="24"/>
        </w:rPr>
      </w:pPr>
      <w:r>
        <w:rPr>
          <w:rFonts w:hAnsi="宋体"/>
          <w:sz w:val="28"/>
          <w:szCs w:val="24"/>
        </w:rPr>
        <w:t>应在评价报告中阐述所有的相关假设、所使用的方法学和数据来源。应清楚地解释所有估计值并避免偏差，以使产品碳足迹评价报告如实地阐明其内容。</w:t>
      </w:r>
    </w:p>
    <w:p w14:paraId="5A6121BC">
      <w:pPr>
        <w:pStyle w:val="48"/>
        <w:spacing w:before="0" w:beforeLines="0" w:after="0" w:afterLines="0" w:line="360" w:lineRule="auto"/>
        <w:outlineLvl w:val="9"/>
        <w:rPr>
          <w:rFonts w:ascii="宋体" w:hAnsi="宋体" w:eastAsia="宋体"/>
          <w:sz w:val="28"/>
          <w:szCs w:val="24"/>
        </w:rPr>
      </w:pPr>
      <w:r>
        <w:rPr>
          <w:rFonts w:ascii="宋体" w:hAnsi="宋体" w:eastAsia="宋体"/>
          <w:sz w:val="28"/>
          <w:szCs w:val="24"/>
        </w:rPr>
        <w:t>避免计算重复</w:t>
      </w:r>
    </w:p>
    <w:p w14:paraId="5B5810D9">
      <w:pPr>
        <w:pStyle w:val="34"/>
        <w:spacing w:line="360" w:lineRule="auto"/>
        <w:ind w:firstLine="560"/>
        <w:rPr>
          <w:rFonts w:hAnsi="宋体"/>
          <w:sz w:val="28"/>
          <w:szCs w:val="24"/>
        </w:rPr>
      </w:pPr>
      <w:r>
        <w:rPr>
          <w:rFonts w:hint="eastAsia" w:hAnsi="宋体"/>
          <w:sz w:val="28"/>
          <w:szCs w:val="24"/>
        </w:rPr>
        <w:t>不应</w:t>
      </w:r>
      <w:r>
        <w:rPr>
          <w:rFonts w:hAnsi="宋体"/>
          <w:sz w:val="28"/>
          <w:szCs w:val="24"/>
        </w:rPr>
        <w:t>对所评价产品系统温室气体排放量与清除量进行重复计算，以及避免对其他产品系统已考虑的温室气体排放与清除进行分配。</w:t>
      </w:r>
    </w:p>
    <w:p w14:paraId="5C8B2FB8">
      <w:pPr>
        <w:pStyle w:val="48"/>
        <w:spacing w:before="0" w:beforeLines="0" w:after="0" w:afterLines="0" w:line="360" w:lineRule="auto"/>
        <w:outlineLvl w:val="9"/>
        <w:rPr>
          <w:rFonts w:ascii="宋体" w:hAnsi="宋体" w:eastAsia="宋体"/>
          <w:sz w:val="28"/>
          <w:szCs w:val="24"/>
        </w:rPr>
      </w:pPr>
      <w:r>
        <w:rPr>
          <w:rFonts w:ascii="宋体" w:hAnsi="宋体" w:eastAsia="宋体"/>
          <w:sz w:val="28"/>
          <w:szCs w:val="24"/>
        </w:rPr>
        <w:t>公正性</w:t>
      </w:r>
    </w:p>
    <w:p w14:paraId="62B28C58">
      <w:pPr>
        <w:pStyle w:val="34"/>
        <w:spacing w:line="360" w:lineRule="auto"/>
        <w:ind w:firstLine="560"/>
        <w:rPr>
          <w:rFonts w:hAnsi="宋体"/>
          <w:sz w:val="28"/>
          <w:szCs w:val="24"/>
        </w:rPr>
      </w:pPr>
      <w:r>
        <w:rPr>
          <w:rFonts w:hAnsi="宋体"/>
          <w:sz w:val="28"/>
          <w:szCs w:val="24"/>
        </w:rPr>
        <w:t>应明确产品碳足迹通报是基于仅考虑气候变化这个单一影响类型的产品碳足迹评价，不涉及综合环境优势更为广泛的环境影响。</w:t>
      </w:r>
    </w:p>
    <w:p w14:paraId="76BEF863">
      <w:pPr>
        <w:pStyle w:val="47"/>
        <w:spacing w:before="0" w:beforeLines="0" w:after="0" w:afterLines="0" w:line="360" w:lineRule="auto"/>
        <w:outlineLvl w:val="9"/>
        <w:rPr>
          <w:rFonts w:ascii="宋体" w:hAnsi="宋体" w:eastAsia="宋体"/>
          <w:sz w:val="28"/>
          <w:szCs w:val="24"/>
        </w:rPr>
      </w:pPr>
      <w:bookmarkStart w:id="35" w:name="_Toc212021796"/>
      <w:bookmarkStart w:id="36" w:name="_Toc212018400"/>
      <w:r>
        <w:rPr>
          <w:rFonts w:hint="eastAsia" w:ascii="宋体" w:hAnsi="宋体" w:eastAsia="宋体"/>
          <w:sz w:val="28"/>
          <w:szCs w:val="24"/>
        </w:rPr>
        <w:t>功能单位</w:t>
      </w:r>
      <w:bookmarkEnd w:id="35"/>
      <w:bookmarkEnd w:id="36"/>
    </w:p>
    <w:p w14:paraId="174BE7CD">
      <w:pPr>
        <w:pStyle w:val="34"/>
        <w:spacing w:line="360" w:lineRule="auto"/>
        <w:ind w:firstLine="560"/>
        <w:rPr>
          <w:rFonts w:hAnsi="宋体"/>
          <w:sz w:val="28"/>
          <w:szCs w:val="24"/>
        </w:rPr>
      </w:pPr>
      <w:r>
        <w:rPr>
          <w:rFonts w:hint="eastAsia" w:hAnsi="宋体"/>
          <w:sz w:val="28"/>
          <w:szCs w:val="24"/>
        </w:rPr>
        <w:t>刹车盘盖板产品的功能单位为单个设备或成批件。对功能单位的描述应包括能显示产品特性的技术规格，包括但不限于产品型号、材料构成、外形尺寸及单件重量等。</w:t>
      </w:r>
    </w:p>
    <w:p w14:paraId="5608646F">
      <w:pPr>
        <w:pStyle w:val="47"/>
        <w:spacing w:before="0" w:beforeLines="0" w:after="0" w:afterLines="0" w:line="360" w:lineRule="auto"/>
        <w:outlineLvl w:val="9"/>
        <w:rPr>
          <w:rFonts w:ascii="宋体" w:hAnsi="宋体" w:eastAsia="宋体"/>
          <w:sz w:val="28"/>
          <w:szCs w:val="24"/>
        </w:rPr>
      </w:pPr>
      <w:bookmarkStart w:id="37" w:name="_Toc212018401"/>
      <w:bookmarkStart w:id="38" w:name="_Toc212021797"/>
      <w:r>
        <w:rPr>
          <w:rFonts w:hint="eastAsia" w:ascii="宋体" w:hAnsi="宋体" w:eastAsia="宋体"/>
          <w:sz w:val="28"/>
          <w:szCs w:val="24"/>
        </w:rPr>
        <w:t>系统边界</w:t>
      </w:r>
      <w:bookmarkEnd w:id="37"/>
      <w:bookmarkEnd w:id="38"/>
    </w:p>
    <w:p w14:paraId="1B01E2AC">
      <w:pPr>
        <w:pStyle w:val="48"/>
        <w:spacing w:before="0" w:beforeLines="0" w:after="0" w:afterLines="0" w:line="360" w:lineRule="auto"/>
        <w:outlineLvl w:val="9"/>
        <w:rPr>
          <w:rFonts w:ascii="宋体" w:hAnsi="宋体" w:eastAsia="宋体"/>
          <w:sz w:val="28"/>
          <w:szCs w:val="24"/>
        </w:rPr>
      </w:pPr>
      <w:r>
        <w:rPr>
          <w:rFonts w:ascii="宋体" w:hAnsi="宋体" w:eastAsia="宋体"/>
          <w:sz w:val="28"/>
          <w:szCs w:val="24"/>
        </w:rPr>
        <w:t>边界界定</w:t>
      </w:r>
    </w:p>
    <w:p w14:paraId="3261ACFD">
      <w:pPr>
        <w:pStyle w:val="35"/>
        <w:spacing w:before="0" w:beforeLines="0" w:after="0" w:afterLines="0" w:line="360" w:lineRule="auto"/>
        <w:outlineLvl w:val="9"/>
        <w:rPr>
          <w:rFonts w:ascii="宋体" w:hAnsi="宋体" w:eastAsia="宋体"/>
          <w:sz w:val="28"/>
          <w:szCs w:val="24"/>
        </w:rPr>
      </w:pPr>
      <w:r>
        <w:rPr>
          <w:rFonts w:ascii="宋体" w:hAnsi="宋体" w:eastAsia="宋体"/>
          <w:sz w:val="28"/>
          <w:szCs w:val="24"/>
        </w:rPr>
        <w:t>一般原则</w:t>
      </w:r>
    </w:p>
    <w:p w14:paraId="68362AD8">
      <w:pPr>
        <w:pStyle w:val="34"/>
        <w:spacing w:line="360" w:lineRule="auto"/>
        <w:ind w:firstLine="560"/>
        <w:rPr>
          <w:rFonts w:hAnsi="宋体"/>
          <w:sz w:val="28"/>
          <w:szCs w:val="24"/>
        </w:rPr>
      </w:pPr>
      <w:r>
        <w:rPr>
          <w:rFonts w:hAnsi="宋体"/>
          <w:sz w:val="28"/>
          <w:szCs w:val="24"/>
        </w:rPr>
        <w:t>系统边界决定产品碳足迹核算及评价涵盖的所有单元过程。系统边界的选择应该与碳足迹核算及评价的目标保持一致，并制定相应的便于识别和解释的终止/排他条件。在不会显著改变产品碳足迹核算及评价总体结论的前提下，允许不考虑部分生命周期阶段、单元过程、输入和输出。但是应清晰阐述忽略的具体情况，并说明忽略的原因及其影响。</w:t>
      </w:r>
    </w:p>
    <w:p w14:paraId="01167E82">
      <w:pPr>
        <w:pStyle w:val="35"/>
        <w:spacing w:before="0" w:beforeLines="0" w:after="0" w:afterLines="0" w:line="360" w:lineRule="auto"/>
        <w:outlineLvl w:val="9"/>
        <w:rPr>
          <w:rFonts w:ascii="宋体" w:hAnsi="宋体" w:eastAsia="宋体"/>
          <w:sz w:val="28"/>
          <w:szCs w:val="24"/>
        </w:rPr>
      </w:pPr>
      <w:r>
        <w:rPr>
          <w:rFonts w:ascii="宋体" w:hAnsi="宋体" w:eastAsia="宋体"/>
          <w:sz w:val="28"/>
          <w:szCs w:val="24"/>
        </w:rPr>
        <w:t>系统边界设定</w:t>
      </w:r>
    </w:p>
    <w:p w14:paraId="56FFF321">
      <w:pPr>
        <w:pStyle w:val="52"/>
        <w:spacing w:line="360" w:lineRule="auto"/>
        <w:rPr>
          <w:rFonts w:hAnsi="宋体"/>
          <w:sz w:val="28"/>
          <w:szCs w:val="24"/>
        </w:rPr>
      </w:pPr>
      <w:r>
        <w:rPr>
          <w:rFonts w:hAnsi="宋体"/>
          <w:sz w:val="28"/>
          <w:szCs w:val="24"/>
        </w:rPr>
        <w:t>系统边界的设定可根据产品的数据获取难易情况和排放情况</w:t>
      </w:r>
      <w:r>
        <w:rPr>
          <w:rFonts w:hint="eastAsia" w:hAnsi="宋体"/>
          <w:sz w:val="28"/>
          <w:szCs w:val="24"/>
        </w:rPr>
        <w:t>进行设定</w:t>
      </w:r>
      <w:r>
        <w:rPr>
          <w:rFonts w:hAnsi="宋体"/>
          <w:sz w:val="28"/>
          <w:szCs w:val="24"/>
        </w:rPr>
        <w:t>。包括</w:t>
      </w:r>
      <w:r>
        <w:rPr>
          <w:rFonts w:hint="eastAsia" w:hAnsi="宋体"/>
          <w:sz w:val="28"/>
          <w:szCs w:val="24"/>
        </w:rPr>
        <w:t>以下</w:t>
      </w:r>
      <w:r>
        <w:rPr>
          <w:rFonts w:hAnsi="宋体"/>
          <w:sz w:val="28"/>
          <w:szCs w:val="24"/>
        </w:rPr>
        <w:t>形式：</w:t>
      </w:r>
    </w:p>
    <w:p w14:paraId="341F11C8">
      <w:pPr>
        <w:pStyle w:val="50"/>
        <w:spacing w:line="360" w:lineRule="auto"/>
        <w:rPr>
          <w:rFonts w:hAnsi="宋体"/>
          <w:sz w:val="28"/>
          <w:szCs w:val="24"/>
        </w:rPr>
      </w:pPr>
      <w:r>
        <w:rPr>
          <w:rFonts w:hAnsi="宋体"/>
          <w:sz w:val="28"/>
          <w:szCs w:val="24"/>
        </w:rPr>
        <w:t>涵盖整个生命周期阶段的产品碳足迹评价；</w:t>
      </w:r>
    </w:p>
    <w:p w14:paraId="26F9EDF7">
      <w:pPr>
        <w:pStyle w:val="50"/>
        <w:spacing w:line="360" w:lineRule="auto"/>
        <w:rPr>
          <w:rFonts w:hAnsi="宋体"/>
          <w:sz w:val="28"/>
          <w:szCs w:val="24"/>
        </w:rPr>
      </w:pPr>
      <w:r>
        <w:rPr>
          <w:rFonts w:hAnsi="宋体"/>
          <w:sz w:val="28"/>
          <w:szCs w:val="24"/>
        </w:rPr>
        <w:t>从原材料获取到产品离开生产组织的产品碳足迹评价；</w:t>
      </w:r>
    </w:p>
    <w:p w14:paraId="5D2ADB12">
      <w:pPr>
        <w:pStyle w:val="50"/>
        <w:spacing w:line="360" w:lineRule="auto"/>
        <w:rPr>
          <w:rFonts w:hAnsi="宋体"/>
          <w:sz w:val="28"/>
          <w:szCs w:val="24"/>
        </w:rPr>
      </w:pPr>
      <w:r>
        <w:rPr>
          <w:rFonts w:hAnsi="宋体"/>
          <w:sz w:val="28"/>
          <w:szCs w:val="24"/>
        </w:rPr>
        <w:t>从生产阶段到使用阶段的产品碳足迹评价；</w:t>
      </w:r>
    </w:p>
    <w:p w14:paraId="5023202C">
      <w:pPr>
        <w:pStyle w:val="50"/>
        <w:spacing w:line="360" w:lineRule="auto"/>
        <w:rPr>
          <w:rFonts w:hAnsi="宋体"/>
          <w:sz w:val="28"/>
          <w:szCs w:val="24"/>
        </w:rPr>
      </w:pPr>
      <w:r>
        <w:rPr>
          <w:rFonts w:hAnsi="宋体"/>
          <w:sz w:val="28"/>
          <w:szCs w:val="24"/>
        </w:rPr>
        <w:t>生产阶段的产品碳足迹评价；</w:t>
      </w:r>
    </w:p>
    <w:p w14:paraId="6E9621A1">
      <w:pPr>
        <w:pStyle w:val="50"/>
        <w:spacing w:line="360" w:lineRule="auto"/>
        <w:rPr>
          <w:rFonts w:hAnsi="宋体"/>
          <w:sz w:val="28"/>
          <w:szCs w:val="24"/>
        </w:rPr>
      </w:pPr>
      <w:r>
        <w:rPr>
          <w:rFonts w:hAnsi="宋体"/>
          <w:sz w:val="28"/>
          <w:szCs w:val="24"/>
        </w:rPr>
        <w:t>使用阶段的产品碳足迹评价。</w:t>
      </w:r>
    </w:p>
    <w:p w14:paraId="1095220A">
      <w:pPr>
        <w:pStyle w:val="52"/>
        <w:spacing w:line="360" w:lineRule="auto"/>
        <w:rPr>
          <w:rFonts w:hAnsi="宋体"/>
          <w:sz w:val="28"/>
          <w:szCs w:val="24"/>
        </w:rPr>
      </w:pPr>
      <w:r>
        <w:rPr>
          <w:rFonts w:hint="eastAsia" w:hAnsi="宋体"/>
          <w:sz w:val="28"/>
          <w:szCs w:val="24"/>
        </w:rPr>
        <w:t>刹车盘盖板</w:t>
      </w:r>
      <w:r>
        <w:rPr>
          <w:rFonts w:hAnsi="宋体"/>
          <w:sz w:val="28"/>
          <w:szCs w:val="24"/>
        </w:rPr>
        <w:t>产品的系统边界原则上宜包括产品全生命周期的每个阶段，</w:t>
      </w:r>
      <w:r>
        <w:rPr>
          <w:rFonts w:hint="eastAsia" w:hAnsi="宋体"/>
          <w:sz w:val="28"/>
          <w:szCs w:val="24"/>
        </w:rPr>
        <w:t>涵盖原材料获取与加工阶段、生产阶段、下游存储与分销阶段，具体系统边界内容见图1。</w:t>
      </w:r>
    </w:p>
    <w:p w14:paraId="4447998C">
      <w:pPr>
        <w:pStyle w:val="34"/>
        <w:spacing w:line="360" w:lineRule="auto"/>
        <w:ind w:firstLine="560"/>
        <w:rPr>
          <w:rFonts w:hAnsi="宋体"/>
          <w:sz w:val="28"/>
          <w:szCs w:val="24"/>
        </w:rPr>
      </w:pPr>
    </w:p>
    <w:p w14:paraId="09DA6761">
      <w:pPr>
        <w:pStyle w:val="34"/>
        <w:spacing w:line="360" w:lineRule="auto"/>
        <w:ind w:firstLine="0" w:firstLineChars="0"/>
        <w:jc w:val="center"/>
        <w:rPr>
          <w:rFonts w:hAnsi="宋体"/>
          <w:sz w:val="28"/>
          <w:szCs w:val="24"/>
        </w:rPr>
      </w:pPr>
      <w:r>
        <w:rPr>
          <w:rFonts w:hAnsi="宋体"/>
          <w:sz w:val="28"/>
          <w:szCs w:val="24"/>
        </w:rPr>
        <w:drawing>
          <wp:inline distT="0" distB="0" distL="0" distR="0">
            <wp:extent cx="5939790" cy="3418205"/>
            <wp:effectExtent l="0" t="0" r="3810" b="0"/>
            <wp:docPr id="148020137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201377" name="图片 1"/>
                    <pic:cNvPicPr>
                      <a:picLocks noChangeAspect="1"/>
                    </pic:cNvPicPr>
                  </pic:nvPicPr>
                  <pic:blipFill>
                    <a:blip r:embed="rId6"/>
                    <a:stretch>
                      <a:fillRect/>
                    </a:stretch>
                  </pic:blipFill>
                  <pic:spPr>
                    <a:xfrm>
                      <a:off x="0" y="0"/>
                      <a:ext cx="5939790" cy="3418205"/>
                    </a:xfrm>
                    <a:prstGeom prst="rect">
                      <a:avLst/>
                    </a:prstGeom>
                  </pic:spPr>
                </pic:pic>
              </a:graphicData>
            </a:graphic>
          </wp:inline>
        </w:drawing>
      </w:r>
      <w:r>
        <w:rPr>
          <w:rFonts w:hAnsi="宋体"/>
          <w:sz w:val="28"/>
          <w:szCs w:val="24"/>
        </w:rPr>
        <w:t xml:space="preserve"> </w:t>
      </w:r>
    </w:p>
    <w:p w14:paraId="1ABCADB6">
      <w:pPr>
        <w:pStyle w:val="49"/>
        <w:spacing w:before="0" w:beforeLines="0" w:after="0" w:afterLines="0" w:line="360" w:lineRule="auto"/>
        <w:rPr>
          <w:rFonts w:ascii="宋体" w:hAnsi="宋体" w:eastAsia="宋体"/>
          <w:sz w:val="28"/>
          <w:szCs w:val="24"/>
        </w:rPr>
      </w:pPr>
      <w:r>
        <w:rPr>
          <w:rFonts w:hint="eastAsia" w:ascii="宋体" w:hAnsi="宋体" w:eastAsia="宋体"/>
          <w:sz w:val="28"/>
          <w:szCs w:val="24"/>
        </w:rPr>
        <w:t>产品生命周期边界</w:t>
      </w:r>
    </w:p>
    <w:p w14:paraId="5360DECE">
      <w:pPr>
        <w:pStyle w:val="56"/>
        <w:spacing w:line="360" w:lineRule="auto"/>
        <w:rPr>
          <w:rFonts w:hAnsi="宋体"/>
          <w:sz w:val="22"/>
          <w:szCs w:val="22"/>
        </w:rPr>
      </w:pPr>
      <w:r>
        <w:rPr>
          <w:rFonts w:hint="eastAsia" w:hAnsi="宋体"/>
          <w:sz w:val="22"/>
          <w:szCs w:val="22"/>
        </w:rPr>
        <w:t>图中单元过程用方框代表，产品、物质和能量流用箭头代表。</w:t>
      </w:r>
    </w:p>
    <w:p w14:paraId="46506DCF">
      <w:pPr>
        <w:pStyle w:val="48"/>
        <w:spacing w:before="0" w:beforeLines="0" w:after="0" w:afterLines="0" w:line="360" w:lineRule="auto"/>
        <w:outlineLvl w:val="9"/>
        <w:rPr>
          <w:rFonts w:ascii="宋体" w:hAnsi="宋体" w:eastAsia="宋体"/>
          <w:sz w:val="28"/>
          <w:szCs w:val="24"/>
        </w:rPr>
      </w:pPr>
      <w:r>
        <w:rPr>
          <w:rFonts w:hint="eastAsia" w:ascii="宋体" w:hAnsi="宋体" w:eastAsia="宋体"/>
          <w:sz w:val="28"/>
          <w:szCs w:val="24"/>
        </w:rPr>
        <w:t>生命周期阶段</w:t>
      </w:r>
    </w:p>
    <w:p w14:paraId="16918A66">
      <w:pPr>
        <w:pStyle w:val="35"/>
        <w:spacing w:before="0" w:beforeLines="0" w:after="0" w:afterLines="0" w:line="360" w:lineRule="auto"/>
        <w:outlineLvl w:val="9"/>
        <w:rPr>
          <w:rFonts w:ascii="宋体" w:hAnsi="宋体" w:eastAsia="宋体"/>
          <w:sz w:val="28"/>
          <w:szCs w:val="24"/>
        </w:rPr>
      </w:pPr>
      <w:r>
        <w:rPr>
          <w:rFonts w:hint="eastAsia" w:ascii="宋体" w:hAnsi="宋体" w:eastAsia="宋体"/>
          <w:sz w:val="28"/>
          <w:szCs w:val="24"/>
        </w:rPr>
        <w:t>原材料获取与加工阶段</w:t>
      </w:r>
    </w:p>
    <w:p w14:paraId="6877299E">
      <w:pPr>
        <w:pStyle w:val="34"/>
        <w:spacing w:line="360" w:lineRule="auto"/>
        <w:ind w:firstLine="560"/>
        <w:rPr>
          <w:rFonts w:hAnsi="宋体"/>
          <w:sz w:val="28"/>
          <w:szCs w:val="24"/>
        </w:rPr>
      </w:pPr>
      <w:r>
        <w:rPr>
          <w:rFonts w:hint="eastAsia" w:hAnsi="宋体"/>
          <w:sz w:val="28"/>
          <w:szCs w:val="24"/>
        </w:rPr>
        <w:t>本阶段包括进入生产阶段的所有原材料的获取与加工过程。在刹车盘盖板产品碳足迹评价中应纳入以下过程：</w:t>
      </w:r>
    </w:p>
    <w:p w14:paraId="3E8485F0">
      <w:pPr>
        <w:pStyle w:val="50"/>
        <w:spacing w:line="360" w:lineRule="auto"/>
        <w:rPr>
          <w:rFonts w:hAnsi="宋体"/>
          <w:sz w:val="28"/>
          <w:szCs w:val="24"/>
        </w:rPr>
      </w:pPr>
      <w:r>
        <w:rPr>
          <w:rFonts w:hint="eastAsia" w:hAnsi="宋体"/>
          <w:sz w:val="28"/>
          <w:szCs w:val="24"/>
        </w:rPr>
        <w:t>金属矿石开采、废金属回收及相关运输过程；</w:t>
      </w:r>
    </w:p>
    <w:p w14:paraId="7D132578">
      <w:pPr>
        <w:pStyle w:val="50"/>
        <w:spacing w:line="360" w:lineRule="auto"/>
        <w:rPr>
          <w:rFonts w:hAnsi="宋体"/>
          <w:sz w:val="28"/>
          <w:szCs w:val="24"/>
        </w:rPr>
      </w:pPr>
      <w:r>
        <w:rPr>
          <w:rFonts w:hint="eastAsia" w:hAnsi="宋体"/>
          <w:sz w:val="28"/>
          <w:szCs w:val="24"/>
        </w:rPr>
        <w:t>金属材料（如钢板）的生产与运输过程；</w:t>
      </w:r>
    </w:p>
    <w:p w14:paraId="62917244">
      <w:pPr>
        <w:pStyle w:val="50"/>
        <w:spacing w:line="360" w:lineRule="auto"/>
        <w:rPr>
          <w:rFonts w:hAnsi="宋体"/>
          <w:sz w:val="28"/>
          <w:szCs w:val="24"/>
        </w:rPr>
      </w:pPr>
      <w:r>
        <w:rPr>
          <w:rFonts w:hint="eastAsia" w:hAnsi="宋体"/>
          <w:sz w:val="28"/>
          <w:szCs w:val="24"/>
        </w:rPr>
        <w:t>塑料原料（如塑料颗粒）的生产与运输过程；</w:t>
      </w:r>
    </w:p>
    <w:p w14:paraId="00D97658">
      <w:pPr>
        <w:pStyle w:val="50"/>
        <w:spacing w:line="360" w:lineRule="auto"/>
        <w:rPr>
          <w:rFonts w:hAnsi="宋体"/>
          <w:sz w:val="28"/>
          <w:szCs w:val="24"/>
        </w:rPr>
      </w:pPr>
      <w:r>
        <w:rPr>
          <w:rFonts w:hint="eastAsia" w:hAnsi="宋体"/>
          <w:sz w:val="28"/>
          <w:szCs w:val="24"/>
        </w:rPr>
        <w:t>包装材料的生产与运输过程；</w:t>
      </w:r>
    </w:p>
    <w:p w14:paraId="319DC711">
      <w:pPr>
        <w:pStyle w:val="50"/>
        <w:spacing w:line="360" w:lineRule="auto"/>
        <w:rPr>
          <w:rFonts w:hAnsi="宋体"/>
          <w:sz w:val="28"/>
          <w:szCs w:val="24"/>
        </w:rPr>
      </w:pPr>
      <w:r>
        <w:rPr>
          <w:rFonts w:hint="eastAsia" w:hAnsi="宋体"/>
          <w:sz w:val="28"/>
          <w:szCs w:val="24"/>
        </w:rPr>
        <w:t>其他辅助材料的生产与运输过程；</w:t>
      </w:r>
    </w:p>
    <w:p w14:paraId="0CEA9A64">
      <w:pPr>
        <w:pStyle w:val="50"/>
        <w:spacing w:line="360" w:lineRule="auto"/>
        <w:rPr>
          <w:rFonts w:hAnsi="宋体"/>
          <w:sz w:val="28"/>
          <w:szCs w:val="24"/>
        </w:rPr>
      </w:pPr>
      <w:r>
        <w:rPr>
          <w:rFonts w:hint="eastAsia" w:hAnsi="宋体"/>
          <w:sz w:val="28"/>
          <w:szCs w:val="24"/>
        </w:rPr>
        <w:t>能源开采、生产与输送过程；</w:t>
      </w:r>
    </w:p>
    <w:p w14:paraId="1F31AAAF">
      <w:pPr>
        <w:pStyle w:val="50"/>
        <w:spacing w:line="360" w:lineRule="auto"/>
        <w:rPr>
          <w:rFonts w:hAnsi="宋体"/>
          <w:sz w:val="28"/>
          <w:szCs w:val="24"/>
        </w:rPr>
      </w:pPr>
      <w:r>
        <w:rPr>
          <w:rFonts w:hint="eastAsia" w:hAnsi="宋体"/>
          <w:sz w:val="28"/>
          <w:szCs w:val="24"/>
        </w:rPr>
        <w:t>水资源供应过程；</w:t>
      </w:r>
    </w:p>
    <w:p w14:paraId="4F6DCE2F">
      <w:pPr>
        <w:pStyle w:val="50"/>
        <w:spacing w:line="360" w:lineRule="auto"/>
        <w:rPr>
          <w:rFonts w:hAnsi="宋体"/>
          <w:sz w:val="28"/>
          <w:szCs w:val="24"/>
        </w:rPr>
      </w:pPr>
      <w:r>
        <w:rPr>
          <w:rFonts w:hint="eastAsia" w:hAnsi="宋体"/>
          <w:sz w:val="28"/>
          <w:szCs w:val="24"/>
        </w:rPr>
        <w:t>原材料获取与加工过程中产生的废水、废气及固体废弃物处理相关过程。</w:t>
      </w:r>
    </w:p>
    <w:p w14:paraId="428BB1A9">
      <w:pPr>
        <w:pStyle w:val="35"/>
        <w:spacing w:before="0" w:beforeLines="0" w:after="0" w:afterLines="0" w:line="360" w:lineRule="auto"/>
        <w:outlineLvl w:val="9"/>
        <w:rPr>
          <w:rFonts w:ascii="宋体" w:hAnsi="宋体" w:eastAsia="宋体"/>
          <w:sz w:val="28"/>
          <w:szCs w:val="24"/>
        </w:rPr>
      </w:pPr>
      <w:r>
        <w:rPr>
          <w:rFonts w:hint="eastAsia" w:ascii="宋体" w:hAnsi="宋体" w:eastAsia="宋体"/>
          <w:sz w:val="28"/>
          <w:szCs w:val="24"/>
        </w:rPr>
        <w:t>生产阶段</w:t>
      </w:r>
    </w:p>
    <w:p w14:paraId="042B749E">
      <w:pPr>
        <w:pStyle w:val="34"/>
        <w:spacing w:line="360" w:lineRule="auto"/>
        <w:ind w:firstLine="560"/>
        <w:rPr>
          <w:rFonts w:hAnsi="宋体"/>
          <w:sz w:val="28"/>
          <w:szCs w:val="24"/>
        </w:rPr>
      </w:pPr>
      <w:r>
        <w:rPr>
          <w:rFonts w:hint="eastAsia" w:hAnsi="宋体"/>
          <w:sz w:val="28"/>
          <w:szCs w:val="24"/>
        </w:rPr>
        <w:t>生产阶段应包括但不限于产品生产前准备、生产制造、组装、产品包装以及生产过程中产生的废物处理等单元过程。在产品碳足迹评价中应纳入以下过程：</w:t>
      </w:r>
    </w:p>
    <w:p w14:paraId="12258B2C">
      <w:pPr>
        <w:pStyle w:val="50"/>
        <w:spacing w:line="360" w:lineRule="auto"/>
        <w:rPr>
          <w:rFonts w:hAnsi="宋体"/>
          <w:sz w:val="28"/>
          <w:szCs w:val="24"/>
        </w:rPr>
      </w:pPr>
      <w:r>
        <w:rPr>
          <w:rFonts w:hint="eastAsia" w:hAnsi="宋体"/>
          <w:sz w:val="28"/>
          <w:szCs w:val="24"/>
        </w:rPr>
        <w:t>钢板下料、金加工等金属成型过程；</w:t>
      </w:r>
    </w:p>
    <w:p w14:paraId="4558CC2F">
      <w:pPr>
        <w:pStyle w:val="50"/>
        <w:spacing w:line="360" w:lineRule="auto"/>
        <w:rPr>
          <w:rFonts w:hAnsi="宋体"/>
          <w:sz w:val="28"/>
          <w:szCs w:val="24"/>
        </w:rPr>
      </w:pPr>
      <w:r>
        <w:rPr>
          <w:rFonts w:hint="eastAsia" w:hAnsi="宋体"/>
          <w:sz w:val="28"/>
          <w:szCs w:val="24"/>
        </w:rPr>
        <w:t>清洗、烘干等前处理过程；</w:t>
      </w:r>
    </w:p>
    <w:p w14:paraId="7A9DFF90">
      <w:pPr>
        <w:pStyle w:val="50"/>
        <w:spacing w:line="360" w:lineRule="auto"/>
        <w:rPr>
          <w:rFonts w:hAnsi="宋体"/>
          <w:sz w:val="28"/>
          <w:szCs w:val="24"/>
        </w:rPr>
      </w:pPr>
      <w:r>
        <w:rPr>
          <w:rFonts w:hint="eastAsia" w:hAnsi="宋体"/>
          <w:sz w:val="28"/>
          <w:szCs w:val="24"/>
        </w:rPr>
        <w:t>喷塑、烘烤等表面处理过程；</w:t>
      </w:r>
    </w:p>
    <w:p w14:paraId="1A622503">
      <w:pPr>
        <w:pStyle w:val="50"/>
        <w:spacing w:line="360" w:lineRule="auto"/>
        <w:rPr>
          <w:rFonts w:hAnsi="宋体"/>
          <w:sz w:val="28"/>
          <w:szCs w:val="24"/>
        </w:rPr>
      </w:pPr>
      <w:r>
        <w:rPr>
          <w:rFonts w:hint="eastAsia" w:hAnsi="宋体"/>
          <w:sz w:val="28"/>
          <w:szCs w:val="24"/>
        </w:rPr>
        <w:t>注塑、吹塑等塑料成型过程；</w:t>
      </w:r>
    </w:p>
    <w:p w14:paraId="42329492">
      <w:pPr>
        <w:pStyle w:val="50"/>
        <w:spacing w:line="360" w:lineRule="auto"/>
        <w:rPr>
          <w:rFonts w:hAnsi="宋体"/>
          <w:sz w:val="28"/>
          <w:szCs w:val="24"/>
        </w:rPr>
      </w:pPr>
      <w:r>
        <w:rPr>
          <w:rFonts w:hint="eastAsia" w:hAnsi="宋体"/>
          <w:sz w:val="28"/>
          <w:szCs w:val="24"/>
        </w:rPr>
        <w:t>组装过程；</w:t>
      </w:r>
    </w:p>
    <w:p w14:paraId="297A6C86">
      <w:pPr>
        <w:pStyle w:val="50"/>
        <w:spacing w:line="360" w:lineRule="auto"/>
        <w:rPr>
          <w:rFonts w:hAnsi="宋体"/>
          <w:sz w:val="28"/>
          <w:szCs w:val="24"/>
        </w:rPr>
      </w:pPr>
      <w:r>
        <w:rPr>
          <w:rFonts w:hint="eastAsia" w:hAnsi="宋体"/>
          <w:sz w:val="28"/>
          <w:szCs w:val="24"/>
        </w:rPr>
        <w:t>产品检测过程；</w:t>
      </w:r>
    </w:p>
    <w:p w14:paraId="58A20F18">
      <w:pPr>
        <w:pStyle w:val="50"/>
        <w:spacing w:line="360" w:lineRule="auto"/>
        <w:rPr>
          <w:rFonts w:hAnsi="宋体"/>
          <w:sz w:val="28"/>
          <w:szCs w:val="24"/>
        </w:rPr>
      </w:pPr>
      <w:r>
        <w:rPr>
          <w:rFonts w:hint="eastAsia" w:hAnsi="宋体"/>
          <w:sz w:val="28"/>
          <w:szCs w:val="24"/>
        </w:rPr>
        <w:t>包装入库过程；</w:t>
      </w:r>
    </w:p>
    <w:p w14:paraId="5C29F152">
      <w:pPr>
        <w:pStyle w:val="50"/>
        <w:spacing w:line="360" w:lineRule="auto"/>
        <w:rPr>
          <w:rFonts w:hAnsi="宋体"/>
          <w:sz w:val="28"/>
          <w:szCs w:val="24"/>
        </w:rPr>
      </w:pPr>
      <w:r>
        <w:rPr>
          <w:rFonts w:hint="eastAsia" w:hAnsi="宋体"/>
          <w:sz w:val="28"/>
          <w:szCs w:val="24"/>
        </w:rPr>
        <w:t>边角料粉碎回收过程；</w:t>
      </w:r>
    </w:p>
    <w:p w14:paraId="501BBC51">
      <w:pPr>
        <w:pStyle w:val="50"/>
        <w:spacing w:line="360" w:lineRule="auto"/>
        <w:rPr>
          <w:rFonts w:hAnsi="宋体"/>
          <w:sz w:val="28"/>
          <w:szCs w:val="24"/>
        </w:rPr>
      </w:pPr>
      <w:r>
        <w:rPr>
          <w:rFonts w:hint="eastAsia" w:hAnsi="宋体"/>
          <w:sz w:val="28"/>
          <w:szCs w:val="24"/>
        </w:rPr>
        <w:t>生产设备设施的运行、维护等相关过程；</w:t>
      </w:r>
    </w:p>
    <w:p w14:paraId="53144DFC">
      <w:pPr>
        <w:pStyle w:val="50"/>
        <w:spacing w:line="360" w:lineRule="auto"/>
        <w:rPr>
          <w:rFonts w:hAnsi="宋体"/>
          <w:sz w:val="28"/>
          <w:szCs w:val="24"/>
        </w:rPr>
      </w:pPr>
      <w:r>
        <w:rPr>
          <w:rFonts w:hint="eastAsia" w:hAnsi="宋体"/>
          <w:sz w:val="28"/>
          <w:szCs w:val="24"/>
        </w:rPr>
        <w:t>半成品在各车间之间的搬运过程；</w:t>
      </w:r>
    </w:p>
    <w:p w14:paraId="4D009F3A">
      <w:pPr>
        <w:pStyle w:val="50"/>
        <w:spacing w:line="360" w:lineRule="auto"/>
        <w:rPr>
          <w:rFonts w:hAnsi="宋体"/>
          <w:sz w:val="28"/>
          <w:szCs w:val="24"/>
        </w:rPr>
      </w:pPr>
      <w:r>
        <w:rPr>
          <w:rFonts w:hint="eastAsia" w:hAnsi="宋体"/>
          <w:sz w:val="28"/>
          <w:szCs w:val="24"/>
        </w:rPr>
        <w:t>用水供应相关过程；</w:t>
      </w:r>
    </w:p>
    <w:p w14:paraId="2BE95661">
      <w:pPr>
        <w:pStyle w:val="50"/>
        <w:spacing w:line="360" w:lineRule="auto"/>
        <w:rPr>
          <w:rFonts w:hAnsi="宋体"/>
          <w:sz w:val="28"/>
          <w:szCs w:val="24"/>
        </w:rPr>
      </w:pPr>
      <w:r>
        <w:rPr>
          <w:rFonts w:hint="eastAsia" w:hAnsi="宋体"/>
          <w:sz w:val="28"/>
          <w:szCs w:val="24"/>
        </w:rPr>
        <w:t>生产过程中产生的噪声、废水、废气（如粉尘、烟尘）、固体废弃物处理相关过程。</w:t>
      </w:r>
    </w:p>
    <w:p w14:paraId="31A386B4">
      <w:pPr>
        <w:pStyle w:val="35"/>
        <w:spacing w:before="0" w:beforeLines="0" w:after="0" w:afterLines="0" w:line="360" w:lineRule="auto"/>
        <w:outlineLvl w:val="9"/>
        <w:rPr>
          <w:rFonts w:ascii="宋体" w:hAnsi="宋体" w:eastAsia="宋体"/>
          <w:sz w:val="28"/>
          <w:szCs w:val="24"/>
        </w:rPr>
      </w:pPr>
      <w:r>
        <w:rPr>
          <w:rFonts w:hint="eastAsia" w:ascii="宋体" w:hAnsi="宋体" w:eastAsia="宋体"/>
          <w:sz w:val="28"/>
          <w:szCs w:val="24"/>
        </w:rPr>
        <w:t>下游存储与分销阶段</w:t>
      </w:r>
    </w:p>
    <w:p w14:paraId="69737B75">
      <w:pPr>
        <w:pStyle w:val="34"/>
        <w:spacing w:line="360" w:lineRule="auto"/>
        <w:ind w:firstLine="560"/>
        <w:rPr>
          <w:rFonts w:hAnsi="宋体"/>
          <w:sz w:val="28"/>
          <w:szCs w:val="24"/>
        </w:rPr>
      </w:pPr>
      <w:r>
        <w:rPr>
          <w:rFonts w:hint="eastAsia" w:hAnsi="宋体"/>
          <w:sz w:val="28"/>
          <w:szCs w:val="24"/>
        </w:rPr>
        <w:t>在产品碳足迹评价中应纳入产品从出厂至下游加工地点或销售点之间的运输与存储相关过程，具体包括从出厂到中转仓库的运输、中转仓库的存储，以及从中转仓库到下游加工地点或销售点的运输。当该阶段纳入系统边界时，应包括以下适用过程：</w:t>
      </w:r>
    </w:p>
    <w:p w14:paraId="0E543011">
      <w:pPr>
        <w:pStyle w:val="50"/>
        <w:spacing w:line="360" w:lineRule="auto"/>
        <w:rPr>
          <w:rFonts w:hAnsi="宋体"/>
          <w:sz w:val="28"/>
          <w:szCs w:val="24"/>
        </w:rPr>
      </w:pPr>
      <w:r>
        <w:rPr>
          <w:rFonts w:hint="eastAsia" w:hAnsi="宋体"/>
          <w:sz w:val="28"/>
          <w:szCs w:val="24"/>
        </w:rPr>
        <w:t>仓库照明、通风、空调和供暖的能源消耗；</w:t>
      </w:r>
    </w:p>
    <w:p w14:paraId="4EC4B99E">
      <w:pPr>
        <w:pStyle w:val="50"/>
        <w:spacing w:line="360" w:lineRule="auto"/>
        <w:rPr>
          <w:rFonts w:hAnsi="宋体"/>
          <w:sz w:val="28"/>
          <w:szCs w:val="24"/>
        </w:rPr>
      </w:pPr>
      <w:r>
        <w:rPr>
          <w:rFonts w:hint="eastAsia" w:hAnsi="宋体"/>
          <w:sz w:val="28"/>
          <w:szCs w:val="24"/>
        </w:rPr>
        <w:t>工厂、仓库和转运站之间的各类运输方式，包括陆运、水运及空运；</w:t>
      </w:r>
    </w:p>
    <w:p w14:paraId="6C11BA23">
      <w:pPr>
        <w:pStyle w:val="50"/>
        <w:spacing w:line="360" w:lineRule="auto"/>
        <w:rPr>
          <w:rFonts w:hAnsi="宋体"/>
          <w:sz w:val="28"/>
          <w:szCs w:val="24"/>
        </w:rPr>
      </w:pPr>
      <w:r>
        <w:rPr>
          <w:rFonts w:hint="eastAsia" w:hAnsi="宋体"/>
          <w:sz w:val="28"/>
          <w:szCs w:val="24"/>
        </w:rPr>
        <w:t>装载过程；</w:t>
      </w:r>
    </w:p>
    <w:p w14:paraId="7F1EC573">
      <w:pPr>
        <w:pStyle w:val="50"/>
        <w:spacing w:line="360" w:lineRule="auto"/>
        <w:rPr>
          <w:rFonts w:hAnsi="宋体"/>
          <w:sz w:val="28"/>
          <w:szCs w:val="24"/>
        </w:rPr>
      </w:pPr>
      <w:r>
        <w:rPr>
          <w:rFonts w:hint="eastAsia" w:hAnsi="宋体"/>
          <w:sz w:val="28"/>
          <w:szCs w:val="24"/>
        </w:rPr>
        <w:t>收货及入库过程；</w:t>
      </w:r>
    </w:p>
    <w:p w14:paraId="5A89CCFA">
      <w:pPr>
        <w:pStyle w:val="50"/>
        <w:spacing w:line="360" w:lineRule="auto"/>
        <w:rPr>
          <w:rFonts w:hAnsi="宋体"/>
          <w:sz w:val="28"/>
          <w:szCs w:val="24"/>
        </w:rPr>
      </w:pPr>
      <w:r>
        <w:rPr>
          <w:rFonts w:hint="eastAsia" w:hAnsi="宋体"/>
          <w:sz w:val="28"/>
          <w:szCs w:val="24"/>
        </w:rPr>
        <w:t>运输相关过程；</w:t>
      </w:r>
    </w:p>
    <w:p w14:paraId="73898AED">
      <w:pPr>
        <w:pStyle w:val="50"/>
        <w:spacing w:line="360" w:lineRule="auto"/>
        <w:rPr>
          <w:rFonts w:hAnsi="宋体"/>
          <w:sz w:val="28"/>
          <w:szCs w:val="24"/>
        </w:rPr>
      </w:pPr>
      <w:r>
        <w:rPr>
          <w:rFonts w:hint="eastAsia" w:hAnsi="宋体"/>
          <w:sz w:val="28"/>
          <w:szCs w:val="24"/>
        </w:rPr>
        <w:t>存储相关过程；</w:t>
      </w:r>
    </w:p>
    <w:p w14:paraId="7EA3ACD1">
      <w:pPr>
        <w:pStyle w:val="50"/>
        <w:spacing w:line="360" w:lineRule="auto"/>
        <w:rPr>
          <w:rFonts w:hAnsi="宋体"/>
          <w:sz w:val="28"/>
          <w:szCs w:val="24"/>
        </w:rPr>
      </w:pPr>
      <w:r>
        <w:rPr>
          <w:rFonts w:hint="eastAsia" w:hAnsi="宋体"/>
          <w:sz w:val="28"/>
          <w:szCs w:val="24"/>
        </w:rPr>
        <w:t>分销相关过程。</w:t>
      </w:r>
    </w:p>
    <w:p w14:paraId="6829BE8A">
      <w:pPr>
        <w:pStyle w:val="48"/>
        <w:spacing w:before="0" w:beforeLines="0" w:after="0" w:afterLines="0" w:line="360" w:lineRule="auto"/>
        <w:outlineLvl w:val="9"/>
        <w:rPr>
          <w:rFonts w:ascii="宋体" w:hAnsi="宋体" w:eastAsia="宋体"/>
          <w:sz w:val="28"/>
          <w:szCs w:val="24"/>
        </w:rPr>
      </w:pPr>
      <w:r>
        <w:rPr>
          <w:rFonts w:ascii="宋体" w:hAnsi="宋体" w:eastAsia="宋体"/>
          <w:sz w:val="28"/>
          <w:szCs w:val="24"/>
        </w:rPr>
        <w:t>取舍准则</w:t>
      </w:r>
    </w:p>
    <w:p w14:paraId="247FB4A3">
      <w:pPr>
        <w:pStyle w:val="53"/>
        <w:spacing w:line="360" w:lineRule="auto"/>
        <w:rPr>
          <w:rFonts w:hAnsi="宋体"/>
          <w:sz w:val="28"/>
          <w:szCs w:val="24"/>
        </w:rPr>
      </w:pPr>
      <w:r>
        <w:rPr>
          <w:rFonts w:hAnsi="宋体"/>
          <w:sz w:val="28"/>
          <w:szCs w:val="24"/>
        </w:rPr>
        <w:t>不应将对产品碳足迹有实质性贡献的温室气体排放与清除排除在外。应量化至少95%与功能单位相关的生命周期内预计会产生的温室气体排放与清除，即温室气体排放或清除量小于所评价产品温室气体总排放或清除估测值1%的可予以舍去，但累计不应超过5%。取舍准则不适用于有毒有害物质，产品碳足迹评价应包含所有有毒有害的材料和物质。</w:t>
      </w:r>
    </w:p>
    <w:p w14:paraId="52419865">
      <w:pPr>
        <w:pStyle w:val="53"/>
        <w:spacing w:line="360" w:lineRule="auto"/>
        <w:rPr>
          <w:rFonts w:hAnsi="宋体"/>
          <w:sz w:val="28"/>
          <w:szCs w:val="24"/>
        </w:rPr>
      </w:pPr>
      <w:r>
        <w:rPr>
          <w:rFonts w:hAnsi="宋体"/>
          <w:sz w:val="28"/>
          <w:szCs w:val="24"/>
        </w:rPr>
        <w:t>舍去的温室气体排放与清除应有书面记录。所选择的取舍准则对评价结果产生的影响应在评价报告中做出解释。</w:t>
      </w:r>
    </w:p>
    <w:p w14:paraId="398049F6">
      <w:pPr>
        <w:pStyle w:val="47"/>
        <w:spacing w:before="0" w:beforeLines="0" w:after="0" w:afterLines="0" w:line="360" w:lineRule="auto"/>
        <w:outlineLvl w:val="9"/>
        <w:rPr>
          <w:rFonts w:ascii="宋体" w:hAnsi="宋体" w:eastAsia="宋体"/>
          <w:sz w:val="28"/>
          <w:szCs w:val="24"/>
        </w:rPr>
      </w:pPr>
      <w:bookmarkStart w:id="39" w:name="_Toc212018402"/>
      <w:bookmarkStart w:id="40" w:name="_Toc212021798"/>
      <w:r>
        <w:rPr>
          <w:rFonts w:hint="eastAsia" w:ascii="宋体" w:hAnsi="宋体" w:eastAsia="宋体"/>
          <w:sz w:val="28"/>
          <w:szCs w:val="24"/>
        </w:rPr>
        <w:t>数据收集</w:t>
      </w:r>
      <w:bookmarkEnd w:id="39"/>
      <w:bookmarkEnd w:id="40"/>
    </w:p>
    <w:p w14:paraId="09A23218">
      <w:pPr>
        <w:pStyle w:val="48"/>
        <w:spacing w:before="0" w:beforeLines="0" w:after="0" w:afterLines="0" w:line="360" w:lineRule="auto"/>
        <w:outlineLvl w:val="9"/>
        <w:rPr>
          <w:rFonts w:ascii="宋体" w:hAnsi="宋体" w:eastAsia="宋体"/>
          <w:sz w:val="28"/>
          <w:szCs w:val="24"/>
        </w:rPr>
      </w:pPr>
      <w:r>
        <w:rPr>
          <w:rFonts w:hint="eastAsia" w:ascii="宋体" w:hAnsi="宋体" w:eastAsia="宋体"/>
          <w:sz w:val="28"/>
          <w:szCs w:val="24"/>
        </w:rPr>
        <w:t>数据质量要求</w:t>
      </w:r>
    </w:p>
    <w:p w14:paraId="2E688063">
      <w:pPr>
        <w:pStyle w:val="34"/>
        <w:spacing w:line="360" w:lineRule="auto"/>
        <w:ind w:firstLine="560"/>
        <w:rPr>
          <w:rFonts w:hAnsi="宋体"/>
          <w:sz w:val="28"/>
          <w:szCs w:val="24"/>
        </w:rPr>
      </w:pPr>
      <w:r>
        <w:rPr>
          <w:rFonts w:hint="eastAsia" w:hAnsi="宋体"/>
          <w:sz w:val="28"/>
          <w:szCs w:val="24"/>
        </w:rPr>
        <w:t>产品碳足迹评价过程中使用的数据应满足以下要求：</w:t>
      </w:r>
    </w:p>
    <w:p w14:paraId="7A121C3F">
      <w:pPr>
        <w:pStyle w:val="50"/>
        <w:spacing w:line="360" w:lineRule="auto"/>
        <w:rPr>
          <w:rFonts w:hAnsi="宋体"/>
          <w:sz w:val="28"/>
          <w:szCs w:val="24"/>
        </w:rPr>
      </w:pPr>
      <w:r>
        <w:rPr>
          <w:rFonts w:hint="eastAsia" w:hAnsi="宋体"/>
          <w:sz w:val="28"/>
          <w:szCs w:val="24"/>
        </w:rPr>
        <w:t>完整性：涵盖对评价的产品系统有实质性贡献的所有温室气体的排放与清除；</w:t>
      </w:r>
    </w:p>
    <w:p w14:paraId="23D28544">
      <w:pPr>
        <w:pStyle w:val="50"/>
        <w:spacing w:line="360" w:lineRule="auto"/>
        <w:rPr>
          <w:rFonts w:hAnsi="宋体"/>
          <w:sz w:val="28"/>
          <w:szCs w:val="24"/>
        </w:rPr>
      </w:pPr>
      <w:r>
        <w:rPr>
          <w:rFonts w:hint="eastAsia" w:hAnsi="宋体"/>
          <w:sz w:val="28"/>
          <w:szCs w:val="24"/>
        </w:rPr>
        <w:t>代表性：使用对评价产品而言具有时间、地理及技术针对性的数据；</w:t>
      </w:r>
    </w:p>
    <w:p w14:paraId="5E4F363A">
      <w:pPr>
        <w:pStyle w:val="50"/>
        <w:spacing w:line="360" w:lineRule="auto"/>
        <w:rPr>
          <w:rFonts w:hAnsi="宋体"/>
          <w:sz w:val="28"/>
          <w:szCs w:val="24"/>
        </w:rPr>
      </w:pPr>
      <w:r>
        <w:rPr>
          <w:rFonts w:hint="eastAsia" w:hAnsi="宋体"/>
          <w:sz w:val="28"/>
          <w:szCs w:val="24"/>
        </w:rPr>
        <w:t>准确性：避免非必要偏差和不确定度；</w:t>
      </w:r>
    </w:p>
    <w:p w14:paraId="1FE03593">
      <w:pPr>
        <w:pStyle w:val="50"/>
        <w:spacing w:line="360" w:lineRule="auto"/>
        <w:rPr>
          <w:rFonts w:hAnsi="宋体"/>
          <w:sz w:val="28"/>
          <w:szCs w:val="24"/>
        </w:rPr>
      </w:pPr>
      <w:r>
        <w:rPr>
          <w:rFonts w:hint="eastAsia" w:hAnsi="宋体"/>
          <w:sz w:val="28"/>
          <w:szCs w:val="24"/>
        </w:rPr>
        <w:t>使用最近至少一年的数据，若产品生产不足一年，使用从生产初始至评价前的累计数据；</w:t>
      </w:r>
    </w:p>
    <w:p w14:paraId="77740E75">
      <w:pPr>
        <w:pStyle w:val="50"/>
        <w:spacing w:line="360" w:lineRule="auto"/>
        <w:rPr>
          <w:rFonts w:hAnsi="宋体"/>
          <w:sz w:val="28"/>
          <w:szCs w:val="24"/>
        </w:rPr>
      </w:pPr>
      <w:r>
        <w:rPr>
          <w:rFonts w:hint="eastAsia" w:hAnsi="宋体"/>
          <w:sz w:val="28"/>
          <w:szCs w:val="24"/>
        </w:rPr>
        <w:t>优先使用初级数据，若无法获取初级数据，可使用次级数据，并进行书面记录，解释数据来源和使用理由。</w:t>
      </w:r>
    </w:p>
    <w:p w14:paraId="3A5B9857">
      <w:pPr>
        <w:pStyle w:val="48"/>
        <w:spacing w:before="0" w:beforeLines="0" w:after="0" w:afterLines="0" w:line="360" w:lineRule="auto"/>
        <w:outlineLvl w:val="9"/>
        <w:rPr>
          <w:rFonts w:ascii="宋体" w:hAnsi="宋体" w:eastAsia="宋体"/>
          <w:sz w:val="28"/>
          <w:szCs w:val="24"/>
        </w:rPr>
      </w:pPr>
      <w:r>
        <w:rPr>
          <w:rFonts w:hint="eastAsia" w:ascii="宋体" w:hAnsi="宋体" w:eastAsia="宋体"/>
          <w:sz w:val="28"/>
          <w:szCs w:val="24"/>
        </w:rPr>
        <w:t>数据抽样</w:t>
      </w:r>
    </w:p>
    <w:p w14:paraId="66F00291">
      <w:pPr>
        <w:pStyle w:val="53"/>
        <w:spacing w:line="360" w:lineRule="auto"/>
        <w:rPr>
          <w:rFonts w:hAnsi="宋体"/>
          <w:sz w:val="28"/>
          <w:szCs w:val="24"/>
        </w:rPr>
      </w:pPr>
      <w:r>
        <w:rPr>
          <w:rFonts w:hint="eastAsia" w:hAnsi="宋体"/>
          <w:sz w:val="28"/>
          <w:szCs w:val="24"/>
        </w:rPr>
        <w:t>若单元过程的输入数据来自多个源头，宜选择具有代表性的数据样本进行温室气体排放与清除数据的收集。</w:t>
      </w:r>
    </w:p>
    <w:p w14:paraId="209F6106">
      <w:pPr>
        <w:pStyle w:val="53"/>
        <w:spacing w:line="360" w:lineRule="auto"/>
        <w:rPr>
          <w:rFonts w:hAnsi="宋体"/>
          <w:sz w:val="28"/>
          <w:szCs w:val="24"/>
        </w:rPr>
      </w:pPr>
      <w:r>
        <w:rPr>
          <w:rFonts w:hint="eastAsia" w:hAnsi="宋体"/>
          <w:sz w:val="28"/>
          <w:szCs w:val="24"/>
        </w:rPr>
        <w:t>若单一原材料（如钢板、塑料颗粒）来自多个供应商时，宜收集所有供应商的初级数据。若收集所有初级数据存在困难，宜收集供应原材料数量50%以上的或具有代表性的供应商的初级数据，其加权平均值可作为无法取得数据的供应商的次级数据。</w:t>
      </w:r>
    </w:p>
    <w:p w14:paraId="1D59EFAF">
      <w:pPr>
        <w:pStyle w:val="53"/>
        <w:spacing w:line="360" w:lineRule="auto"/>
        <w:rPr>
          <w:rFonts w:hAnsi="宋体"/>
          <w:sz w:val="28"/>
          <w:szCs w:val="24"/>
        </w:rPr>
      </w:pPr>
      <w:r>
        <w:rPr>
          <w:rFonts w:hint="eastAsia" w:hAnsi="宋体"/>
          <w:sz w:val="28"/>
          <w:szCs w:val="24"/>
        </w:rPr>
        <w:t>若产品运输路线不止一条，宜收集所有路线的初级数据。若收集所有初级数据存在困难，宜收集销售量占总销售量50%以上的或具有代表性的主要销售点的运输路线，其加权平均值可作为无法取得数据的路线的次级数据。</w:t>
      </w:r>
    </w:p>
    <w:p w14:paraId="1E4CD183">
      <w:pPr>
        <w:pStyle w:val="48"/>
        <w:spacing w:before="0" w:beforeLines="0" w:after="0" w:afterLines="0" w:line="360" w:lineRule="auto"/>
        <w:outlineLvl w:val="9"/>
        <w:rPr>
          <w:rFonts w:ascii="宋体" w:hAnsi="宋体" w:eastAsia="宋体"/>
          <w:sz w:val="28"/>
          <w:szCs w:val="24"/>
        </w:rPr>
      </w:pPr>
      <w:r>
        <w:rPr>
          <w:rFonts w:hint="eastAsia" w:ascii="宋体" w:hAnsi="宋体" w:eastAsia="宋体"/>
          <w:sz w:val="28"/>
          <w:szCs w:val="24"/>
        </w:rPr>
        <w:t>数据收集要求</w:t>
      </w:r>
    </w:p>
    <w:p w14:paraId="040E4644">
      <w:pPr>
        <w:pStyle w:val="35"/>
        <w:spacing w:before="0" w:beforeLines="0" w:after="0" w:afterLines="0" w:line="360" w:lineRule="auto"/>
        <w:outlineLvl w:val="9"/>
        <w:rPr>
          <w:rFonts w:ascii="宋体" w:hAnsi="宋体" w:eastAsia="宋体"/>
          <w:sz w:val="28"/>
          <w:szCs w:val="24"/>
        </w:rPr>
      </w:pPr>
      <w:r>
        <w:rPr>
          <w:rFonts w:hint="eastAsia" w:ascii="宋体" w:hAnsi="宋体" w:eastAsia="宋体"/>
          <w:sz w:val="28"/>
          <w:szCs w:val="24"/>
        </w:rPr>
        <w:t>原材料获取与加工阶段</w:t>
      </w:r>
    </w:p>
    <w:p w14:paraId="32AA509B">
      <w:pPr>
        <w:pStyle w:val="52"/>
        <w:spacing w:line="360" w:lineRule="auto"/>
        <w:rPr>
          <w:rFonts w:hAnsi="宋体"/>
          <w:sz w:val="28"/>
          <w:szCs w:val="24"/>
        </w:rPr>
      </w:pPr>
      <w:r>
        <w:rPr>
          <w:rFonts w:hint="eastAsia" w:hAnsi="宋体"/>
          <w:sz w:val="28"/>
          <w:szCs w:val="24"/>
        </w:rPr>
        <w:t>以下项目应收集初级数据：</w:t>
      </w:r>
    </w:p>
    <w:p w14:paraId="4AE32319">
      <w:pPr>
        <w:pStyle w:val="50"/>
        <w:spacing w:line="360" w:lineRule="auto"/>
        <w:rPr>
          <w:rFonts w:hAnsi="宋体"/>
          <w:sz w:val="28"/>
          <w:szCs w:val="24"/>
        </w:rPr>
      </w:pPr>
      <w:r>
        <w:rPr>
          <w:rFonts w:hint="eastAsia" w:hAnsi="宋体"/>
          <w:sz w:val="28"/>
          <w:szCs w:val="24"/>
        </w:rPr>
        <w:t>生产相关项目，包括：</w:t>
      </w:r>
    </w:p>
    <w:p w14:paraId="06C6594A">
      <w:pPr>
        <w:pStyle w:val="59"/>
        <w:tabs>
          <w:tab w:val="clear" w:pos="360"/>
        </w:tabs>
        <w:spacing w:line="360" w:lineRule="auto"/>
        <w:ind w:left="851"/>
        <w:rPr>
          <w:rFonts w:hAnsi="宋体"/>
          <w:sz w:val="28"/>
          <w:szCs w:val="24"/>
        </w:rPr>
      </w:pPr>
      <w:r>
        <w:rPr>
          <w:rFonts w:hint="eastAsia" w:hAnsi="宋体"/>
          <w:sz w:val="28"/>
          <w:szCs w:val="24"/>
        </w:rPr>
        <w:t>金属矿石开采、废金属回用的投入量；</w:t>
      </w:r>
    </w:p>
    <w:p w14:paraId="025C323F">
      <w:pPr>
        <w:pStyle w:val="59"/>
        <w:tabs>
          <w:tab w:val="clear" w:pos="360"/>
        </w:tabs>
        <w:spacing w:line="360" w:lineRule="auto"/>
        <w:ind w:left="851"/>
        <w:rPr>
          <w:rFonts w:hAnsi="宋体"/>
          <w:sz w:val="28"/>
          <w:szCs w:val="24"/>
        </w:rPr>
      </w:pPr>
      <w:r>
        <w:rPr>
          <w:rFonts w:hint="eastAsia" w:hAnsi="宋体"/>
          <w:sz w:val="28"/>
          <w:szCs w:val="24"/>
        </w:rPr>
        <w:t>金属材料（钢板）的投入量；</w:t>
      </w:r>
    </w:p>
    <w:p w14:paraId="26003D81">
      <w:pPr>
        <w:pStyle w:val="59"/>
        <w:tabs>
          <w:tab w:val="clear" w:pos="360"/>
        </w:tabs>
        <w:spacing w:line="360" w:lineRule="auto"/>
        <w:ind w:left="851"/>
        <w:rPr>
          <w:rFonts w:hAnsi="宋体"/>
          <w:sz w:val="28"/>
          <w:szCs w:val="24"/>
        </w:rPr>
      </w:pPr>
      <w:r>
        <w:rPr>
          <w:rFonts w:hint="eastAsia" w:hAnsi="宋体"/>
          <w:sz w:val="28"/>
          <w:szCs w:val="24"/>
        </w:rPr>
        <w:t>塑料原料（塑料颗粒）的投入量；</w:t>
      </w:r>
    </w:p>
    <w:p w14:paraId="7244548E">
      <w:pPr>
        <w:pStyle w:val="59"/>
        <w:tabs>
          <w:tab w:val="clear" w:pos="360"/>
        </w:tabs>
        <w:spacing w:line="360" w:lineRule="auto"/>
        <w:ind w:left="851"/>
        <w:rPr>
          <w:rFonts w:hAnsi="宋体"/>
          <w:sz w:val="28"/>
          <w:szCs w:val="24"/>
        </w:rPr>
      </w:pPr>
      <w:r>
        <w:rPr>
          <w:rFonts w:hint="eastAsia" w:hAnsi="宋体"/>
          <w:sz w:val="28"/>
          <w:szCs w:val="24"/>
        </w:rPr>
        <w:t>包装材料的投入量；</w:t>
      </w:r>
    </w:p>
    <w:p w14:paraId="426CC27F">
      <w:pPr>
        <w:pStyle w:val="59"/>
        <w:tabs>
          <w:tab w:val="clear" w:pos="360"/>
        </w:tabs>
        <w:spacing w:line="360" w:lineRule="auto"/>
        <w:ind w:left="851"/>
        <w:rPr>
          <w:rFonts w:hAnsi="宋体"/>
          <w:sz w:val="28"/>
          <w:szCs w:val="24"/>
        </w:rPr>
      </w:pPr>
      <w:r>
        <w:rPr>
          <w:rFonts w:hint="eastAsia" w:hAnsi="宋体"/>
          <w:sz w:val="28"/>
          <w:szCs w:val="24"/>
        </w:rPr>
        <w:t>其他辅材（如喷塑粉末）的投入量；</w:t>
      </w:r>
    </w:p>
    <w:p w14:paraId="616E662A">
      <w:pPr>
        <w:pStyle w:val="59"/>
        <w:tabs>
          <w:tab w:val="clear" w:pos="360"/>
        </w:tabs>
        <w:spacing w:line="360" w:lineRule="auto"/>
        <w:ind w:left="851"/>
        <w:rPr>
          <w:rFonts w:hAnsi="宋体"/>
          <w:sz w:val="28"/>
          <w:szCs w:val="24"/>
        </w:rPr>
      </w:pPr>
      <w:r>
        <w:rPr>
          <w:rFonts w:hint="eastAsia" w:hAnsi="宋体"/>
          <w:sz w:val="28"/>
          <w:szCs w:val="24"/>
        </w:rPr>
        <w:t>电力、蒸汽、燃料等能源投入量；</w:t>
      </w:r>
    </w:p>
    <w:p w14:paraId="635245E7">
      <w:pPr>
        <w:pStyle w:val="59"/>
        <w:tabs>
          <w:tab w:val="clear" w:pos="360"/>
        </w:tabs>
        <w:spacing w:line="360" w:lineRule="auto"/>
        <w:ind w:left="851"/>
        <w:rPr>
          <w:rFonts w:hAnsi="宋体"/>
          <w:sz w:val="28"/>
          <w:szCs w:val="24"/>
        </w:rPr>
      </w:pPr>
      <w:r>
        <w:rPr>
          <w:rFonts w:hint="eastAsia" w:hAnsi="宋体"/>
          <w:sz w:val="28"/>
          <w:szCs w:val="24"/>
        </w:rPr>
        <w:t>水消耗量；</w:t>
      </w:r>
    </w:p>
    <w:p w14:paraId="6650974B">
      <w:pPr>
        <w:pStyle w:val="59"/>
        <w:tabs>
          <w:tab w:val="clear" w:pos="360"/>
        </w:tabs>
        <w:spacing w:line="360" w:lineRule="auto"/>
        <w:ind w:left="851"/>
        <w:rPr>
          <w:rFonts w:hAnsi="宋体"/>
          <w:sz w:val="28"/>
          <w:szCs w:val="24"/>
        </w:rPr>
      </w:pPr>
      <w:r>
        <w:rPr>
          <w:rFonts w:hint="eastAsia" w:hAnsi="宋体"/>
          <w:sz w:val="28"/>
          <w:szCs w:val="24"/>
        </w:rPr>
        <w:t>废弃物的产生量。</w:t>
      </w:r>
    </w:p>
    <w:p w14:paraId="3CC8F30F">
      <w:pPr>
        <w:pStyle w:val="50"/>
        <w:spacing w:line="360" w:lineRule="auto"/>
        <w:rPr>
          <w:rFonts w:hAnsi="宋体"/>
          <w:sz w:val="28"/>
          <w:szCs w:val="24"/>
        </w:rPr>
      </w:pPr>
      <w:r>
        <w:rPr>
          <w:rFonts w:hint="eastAsia" w:hAnsi="宋体"/>
          <w:sz w:val="28"/>
          <w:szCs w:val="24"/>
        </w:rPr>
        <w:t>矿石开采、废金属回用、金属材料、塑料原料、包装材料、其他辅材的运输相关项目，包括：</w:t>
      </w:r>
    </w:p>
    <w:p w14:paraId="042165FD">
      <w:pPr>
        <w:pStyle w:val="59"/>
        <w:tabs>
          <w:tab w:val="clear" w:pos="360"/>
        </w:tabs>
        <w:spacing w:line="360" w:lineRule="auto"/>
        <w:ind w:left="851"/>
        <w:rPr>
          <w:rFonts w:hAnsi="宋体"/>
          <w:sz w:val="28"/>
          <w:szCs w:val="24"/>
        </w:rPr>
      </w:pPr>
      <w:r>
        <w:rPr>
          <w:rFonts w:hint="eastAsia" w:hAnsi="宋体"/>
          <w:sz w:val="28"/>
          <w:szCs w:val="24"/>
        </w:rPr>
        <w:t>每种运输方式的运输数量和重量；</w:t>
      </w:r>
    </w:p>
    <w:p w14:paraId="10523EBB">
      <w:pPr>
        <w:pStyle w:val="59"/>
        <w:tabs>
          <w:tab w:val="clear" w:pos="360"/>
        </w:tabs>
        <w:spacing w:line="360" w:lineRule="auto"/>
        <w:ind w:left="851"/>
        <w:rPr>
          <w:rFonts w:hAnsi="宋体"/>
          <w:sz w:val="28"/>
          <w:szCs w:val="24"/>
        </w:rPr>
      </w:pPr>
      <w:r>
        <w:rPr>
          <w:rFonts w:hint="eastAsia" w:hAnsi="宋体"/>
          <w:sz w:val="28"/>
          <w:szCs w:val="24"/>
        </w:rPr>
        <w:t>每种运输方式的能源消耗量，或其它可计算获得能源消耗量的数据；</w:t>
      </w:r>
    </w:p>
    <w:p w14:paraId="3E3D38AB">
      <w:pPr>
        <w:pStyle w:val="59"/>
        <w:tabs>
          <w:tab w:val="clear" w:pos="360"/>
        </w:tabs>
        <w:spacing w:line="360" w:lineRule="auto"/>
        <w:ind w:left="851"/>
        <w:rPr>
          <w:rFonts w:hAnsi="宋体"/>
          <w:sz w:val="28"/>
          <w:szCs w:val="24"/>
        </w:rPr>
      </w:pPr>
      <w:r>
        <w:rPr>
          <w:rFonts w:hint="eastAsia" w:hAnsi="宋体"/>
          <w:sz w:val="28"/>
          <w:szCs w:val="24"/>
        </w:rPr>
        <w:t>每种运输方式的吨公里数。</w:t>
      </w:r>
    </w:p>
    <w:p w14:paraId="4DB3BC75">
      <w:pPr>
        <w:pStyle w:val="52"/>
        <w:spacing w:line="360" w:lineRule="auto"/>
        <w:rPr>
          <w:rFonts w:hAnsi="宋体"/>
          <w:sz w:val="28"/>
          <w:szCs w:val="24"/>
        </w:rPr>
      </w:pPr>
      <w:r>
        <w:rPr>
          <w:rFonts w:hint="eastAsia" w:hAnsi="宋体"/>
          <w:sz w:val="28"/>
          <w:szCs w:val="24"/>
        </w:rPr>
        <w:t>以下项目可收集次级数据：</w:t>
      </w:r>
    </w:p>
    <w:p w14:paraId="0351A129">
      <w:pPr>
        <w:pStyle w:val="50"/>
        <w:spacing w:line="360" w:lineRule="auto"/>
        <w:rPr>
          <w:rFonts w:hAnsi="宋体"/>
          <w:sz w:val="28"/>
          <w:szCs w:val="24"/>
        </w:rPr>
      </w:pPr>
      <w:r>
        <w:rPr>
          <w:rFonts w:hint="eastAsia" w:hAnsi="宋体"/>
          <w:sz w:val="28"/>
          <w:szCs w:val="24"/>
        </w:rPr>
        <w:t>原料生产与运输相关的温室气体排放与清除因子；</w:t>
      </w:r>
    </w:p>
    <w:p w14:paraId="6DA04E66">
      <w:pPr>
        <w:pStyle w:val="50"/>
        <w:spacing w:line="360" w:lineRule="auto"/>
        <w:rPr>
          <w:rFonts w:hAnsi="宋体"/>
          <w:sz w:val="28"/>
          <w:szCs w:val="24"/>
        </w:rPr>
      </w:pPr>
      <w:r>
        <w:rPr>
          <w:rFonts w:hint="eastAsia" w:hAnsi="宋体"/>
          <w:sz w:val="28"/>
          <w:szCs w:val="24"/>
        </w:rPr>
        <w:t>辅料、包装材料的生产相关的温室气体排放与清除因子；</w:t>
      </w:r>
    </w:p>
    <w:p w14:paraId="39EC9B37">
      <w:pPr>
        <w:pStyle w:val="50"/>
        <w:spacing w:line="360" w:lineRule="auto"/>
        <w:rPr>
          <w:rFonts w:hAnsi="宋体"/>
          <w:sz w:val="28"/>
          <w:szCs w:val="24"/>
        </w:rPr>
      </w:pPr>
      <w:r>
        <w:rPr>
          <w:rFonts w:hint="eastAsia" w:hAnsi="宋体"/>
          <w:sz w:val="28"/>
          <w:szCs w:val="24"/>
        </w:rPr>
        <w:t>能源、水的开采生产、消耗与输送相关的温室气体排放与清除因子；</w:t>
      </w:r>
    </w:p>
    <w:p w14:paraId="450B56A3">
      <w:pPr>
        <w:pStyle w:val="50"/>
        <w:spacing w:line="360" w:lineRule="auto"/>
        <w:rPr>
          <w:rFonts w:hAnsi="宋体"/>
          <w:sz w:val="28"/>
          <w:szCs w:val="24"/>
        </w:rPr>
      </w:pPr>
      <w:r>
        <w:rPr>
          <w:rFonts w:hint="eastAsia" w:hAnsi="宋体"/>
          <w:sz w:val="28"/>
          <w:szCs w:val="24"/>
        </w:rPr>
        <w:t>废弃物处理相关的温室气体排放与清除因子。</w:t>
      </w:r>
    </w:p>
    <w:p w14:paraId="5F0773E5">
      <w:pPr>
        <w:pStyle w:val="35"/>
        <w:spacing w:before="0" w:beforeLines="0" w:after="0" w:afterLines="0" w:line="360" w:lineRule="auto"/>
        <w:outlineLvl w:val="9"/>
        <w:rPr>
          <w:rFonts w:ascii="宋体" w:hAnsi="宋体" w:eastAsia="宋体"/>
          <w:sz w:val="28"/>
          <w:szCs w:val="24"/>
        </w:rPr>
      </w:pPr>
      <w:r>
        <w:rPr>
          <w:rFonts w:hint="eastAsia" w:ascii="宋体" w:hAnsi="宋体" w:eastAsia="宋体"/>
          <w:sz w:val="28"/>
          <w:szCs w:val="24"/>
        </w:rPr>
        <w:t>生产阶段</w:t>
      </w:r>
    </w:p>
    <w:p w14:paraId="3BF5F960">
      <w:pPr>
        <w:pStyle w:val="52"/>
        <w:spacing w:line="360" w:lineRule="auto"/>
        <w:rPr>
          <w:rFonts w:hAnsi="宋体"/>
          <w:sz w:val="28"/>
          <w:szCs w:val="24"/>
        </w:rPr>
      </w:pPr>
      <w:r>
        <w:rPr>
          <w:rFonts w:hint="eastAsia" w:hAnsi="宋体"/>
          <w:sz w:val="28"/>
          <w:szCs w:val="24"/>
        </w:rPr>
        <w:t>以下项目应收集初级数据：</w:t>
      </w:r>
    </w:p>
    <w:p w14:paraId="666CA1E7">
      <w:pPr>
        <w:pStyle w:val="50"/>
        <w:spacing w:line="360" w:lineRule="auto"/>
        <w:rPr>
          <w:rFonts w:hAnsi="宋体"/>
          <w:sz w:val="28"/>
          <w:szCs w:val="24"/>
        </w:rPr>
      </w:pPr>
      <w:r>
        <w:rPr>
          <w:rFonts w:hint="eastAsia" w:hAnsi="宋体"/>
          <w:sz w:val="28"/>
          <w:szCs w:val="24"/>
        </w:rPr>
        <w:t>钢板下料、金加工等金属成型过程的投入量；</w:t>
      </w:r>
    </w:p>
    <w:p w14:paraId="708C0670">
      <w:pPr>
        <w:pStyle w:val="50"/>
        <w:spacing w:line="360" w:lineRule="auto"/>
        <w:rPr>
          <w:rFonts w:hAnsi="宋体"/>
          <w:sz w:val="28"/>
          <w:szCs w:val="24"/>
        </w:rPr>
      </w:pPr>
      <w:r>
        <w:rPr>
          <w:rFonts w:hint="eastAsia" w:hAnsi="宋体"/>
          <w:sz w:val="28"/>
          <w:szCs w:val="24"/>
        </w:rPr>
        <w:t>清洗、烘干等前处理过程的投入量；</w:t>
      </w:r>
    </w:p>
    <w:p w14:paraId="46DFE9A1">
      <w:pPr>
        <w:pStyle w:val="50"/>
        <w:spacing w:line="360" w:lineRule="auto"/>
        <w:rPr>
          <w:rFonts w:hAnsi="宋体"/>
          <w:sz w:val="28"/>
          <w:szCs w:val="24"/>
        </w:rPr>
      </w:pPr>
      <w:r>
        <w:rPr>
          <w:rFonts w:hint="eastAsia" w:hAnsi="宋体"/>
          <w:sz w:val="28"/>
          <w:szCs w:val="24"/>
        </w:rPr>
        <w:t>喷塑、烘烤等表面处理过程的投入量；</w:t>
      </w:r>
    </w:p>
    <w:p w14:paraId="1712918B">
      <w:pPr>
        <w:pStyle w:val="50"/>
        <w:spacing w:line="360" w:lineRule="auto"/>
        <w:rPr>
          <w:rFonts w:hAnsi="宋体"/>
          <w:sz w:val="28"/>
          <w:szCs w:val="24"/>
        </w:rPr>
      </w:pPr>
      <w:r>
        <w:rPr>
          <w:rFonts w:hint="eastAsia" w:hAnsi="宋体"/>
          <w:sz w:val="28"/>
          <w:szCs w:val="24"/>
        </w:rPr>
        <w:t>注塑、吹塑等塑料成型过程的投入量；</w:t>
      </w:r>
    </w:p>
    <w:p w14:paraId="3E6642FC">
      <w:pPr>
        <w:pStyle w:val="50"/>
        <w:spacing w:line="360" w:lineRule="auto"/>
        <w:rPr>
          <w:rFonts w:hAnsi="宋体"/>
          <w:sz w:val="28"/>
          <w:szCs w:val="24"/>
        </w:rPr>
      </w:pPr>
      <w:r>
        <w:rPr>
          <w:rFonts w:hint="eastAsia" w:hAnsi="宋体"/>
          <w:sz w:val="28"/>
          <w:szCs w:val="24"/>
        </w:rPr>
        <w:t>组装过程的投入量；</w:t>
      </w:r>
    </w:p>
    <w:p w14:paraId="74248DF1">
      <w:pPr>
        <w:pStyle w:val="50"/>
        <w:spacing w:line="360" w:lineRule="auto"/>
        <w:rPr>
          <w:rFonts w:hAnsi="宋体"/>
          <w:sz w:val="28"/>
          <w:szCs w:val="24"/>
        </w:rPr>
      </w:pPr>
      <w:r>
        <w:rPr>
          <w:rFonts w:hint="eastAsia" w:hAnsi="宋体"/>
          <w:sz w:val="28"/>
          <w:szCs w:val="24"/>
        </w:rPr>
        <w:t>产品检测过程的投入量；</w:t>
      </w:r>
    </w:p>
    <w:p w14:paraId="396652EF">
      <w:pPr>
        <w:pStyle w:val="50"/>
        <w:spacing w:line="360" w:lineRule="auto"/>
        <w:rPr>
          <w:rFonts w:hAnsi="宋体"/>
          <w:sz w:val="28"/>
          <w:szCs w:val="24"/>
        </w:rPr>
      </w:pPr>
      <w:r>
        <w:rPr>
          <w:rFonts w:hint="eastAsia" w:hAnsi="宋体"/>
          <w:sz w:val="28"/>
          <w:szCs w:val="24"/>
        </w:rPr>
        <w:t>包装入库过程的投入量；</w:t>
      </w:r>
    </w:p>
    <w:p w14:paraId="25886262">
      <w:pPr>
        <w:pStyle w:val="50"/>
        <w:spacing w:line="360" w:lineRule="auto"/>
        <w:rPr>
          <w:rFonts w:hAnsi="宋体"/>
          <w:sz w:val="28"/>
          <w:szCs w:val="24"/>
        </w:rPr>
      </w:pPr>
      <w:r>
        <w:rPr>
          <w:rFonts w:hint="eastAsia" w:hAnsi="宋体"/>
          <w:sz w:val="28"/>
          <w:szCs w:val="24"/>
        </w:rPr>
        <w:t>边角料粉碎回收过程的投入量；</w:t>
      </w:r>
    </w:p>
    <w:p w14:paraId="7C330EFB">
      <w:pPr>
        <w:pStyle w:val="50"/>
        <w:spacing w:line="360" w:lineRule="auto"/>
        <w:rPr>
          <w:rFonts w:hAnsi="宋体"/>
          <w:sz w:val="28"/>
          <w:szCs w:val="24"/>
        </w:rPr>
      </w:pPr>
      <w:r>
        <w:rPr>
          <w:rFonts w:hint="eastAsia" w:hAnsi="宋体"/>
          <w:sz w:val="28"/>
          <w:szCs w:val="24"/>
        </w:rPr>
        <w:t>电力、蒸汽、燃料等能源投入量；</w:t>
      </w:r>
    </w:p>
    <w:p w14:paraId="4DD2BB07">
      <w:pPr>
        <w:pStyle w:val="50"/>
        <w:spacing w:line="360" w:lineRule="auto"/>
        <w:rPr>
          <w:rFonts w:hAnsi="宋体"/>
          <w:sz w:val="28"/>
          <w:szCs w:val="24"/>
        </w:rPr>
      </w:pPr>
      <w:r>
        <w:rPr>
          <w:rFonts w:hint="eastAsia" w:hAnsi="宋体"/>
          <w:sz w:val="28"/>
          <w:szCs w:val="24"/>
        </w:rPr>
        <w:t>水消耗量；</w:t>
      </w:r>
    </w:p>
    <w:p w14:paraId="285DE186">
      <w:pPr>
        <w:pStyle w:val="50"/>
        <w:spacing w:line="360" w:lineRule="auto"/>
        <w:rPr>
          <w:rFonts w:hAnsi="宋体"/>
          <w:sz w:val="28"/>
          <w:szCs w:val="24"/>
        </w:rPr>
      </w:pPr>
      <w:r>
        <w:rPr>
          <w:rFonts w:hint="eastAsia" w:hAnsi="宋体"/>
          <w:sz w:val="28"/>
          <w:szCs w:val="24"/>
        </w:rPr>
        <w:t>废弃物（含粉尘、烟尘、废水、固废）产生量。</w:t>
      </w:r>
    </w:p>
    <w:p w14:paraId="34A18D53">
      <w:pPr>
        <w:pStyle w:val="52"/>
        <w:spacing w:line="360" w:lineRule="auto"/>
        <w:rPr>
          <w:rFonts w:hAnsi="宋体"/>
          <w:sz w:val="28"/>
          <w:szCs w:val="24"/>
        </w:rPr>
      </w:pPr>
      <w:r>
        <w:rPr>
          <w:rFonts w:hint="eastAsia" w:hAnsi="宋体"/>
          <w:sz w:val="28"/>
          <w:szCs w:val="24"/>
        </w:rPr>
        <w:t>以下项目可收集次级数据：</w:t>
      </w:r>
    </w:p>
    <w:p w14:paraId="34B7731C">
      <w:pPr>
        <w:pStyle w:val="50"/>
        <w:spacing w:line="360" w:lineRule="auto"/>
        <w:rPr>
          <w:rFonts w:hAnsi="宋体"/>
          <w:sz w:val="28"/>
          <w:szCs w:val="24"/>
        </w:rPr>
      </w:pPr>
      <w:r>
        <w:rPr>
          <w:rFonts w:hint="eastAsia" w:hAnsi="宋体"/>
          <w:sz w:val="28"/>
          <w:szCs w:val="24"/>
        </w:rPr>
        <w:t>能源、水消耗相关的温室气体排放与清除因子；</w:t>
      </w:r>
    </w:p>
    <w:p w14:paraId="7CC7B75C">
      <w:pPr>
        <w:pStyle w:val="50"/>
        <w:spacing w:line="360" w:lineRule="auto"/>
        <w:rPr>
          <w:rFonts w:hAnsi="宋体"/>
          <w:sz w:val="28"/>
          <w:szCs w:val="24"/>
        </w:rPr>
      </w:pPr>
      <w:r>
        <w:rPr>
          <w:rFonts w:hint="eastAsia" w:hAnsi="宋体"/>
          <w:sz w:val="28"/>
          <w:szCs w:val="24"/>
        </w:rPr>
        <w:t>废弃物处理相关的温室气体排放与清除因子。</w:t>
      </w:r>
    </w:p>
    <w:p w14:paraId="14D23B7C">
      <w:pPr>
        <w:pStyle w:val="35"/>
        <w:spacing w:before="0" w:beforeLines="0" w:after="0" w:afterLines="0" w:line="360" w:lineRule="auto"/>
        <w:outlineLvl w:val="9"/>
        <w:rPr>
          <w:rFonts w:ascii="宋体" w:hAnsi="宋体" w:eastAsia="宋体"/>
          <w:sz w:val="28"/>
          <w:szCs w:val="24"/>
        </w:rPr>
      </w:pPr>
      <w:r>
        <w:rPr>
          <w:rFonts w:hint="eastAsia" w:ascii="宋体" w:hAnsi="宋体" w:eastAsia="宋体"/>
          <w:sz w:val="28"/>
          <w:szCs w:val="24"/>
        </w:rPr>
        <w:t>下游存储与分销阶段</w:t>
      </w:r>
    </w:p>
    <w:p w14:paraId="6040CFA6">
      <w:pPr>
        <w:pStyle w:val="52"/>
        <w:spacing w:line="360" w:lineRule="auto"/>
        <w:rPr>
          <w:rFonts w:hAnsi="宋体"/>
          <w:sz w:val="28"/>
          <w:szCs w:val="24"/>
        </w:rPr>
      </w:pPr>
      <w:r>
        <w:rPr>
          <w:rFonts w:hint="eastAsia" w:hAnsi="宋体"/>
          <w:sz w:val="28"/>
          <w:szCs w:val="24"/>
        </w:rPr>
        <w:t>以下项目应收集初级数据：</w:t>
      </w:r>
    </w:p>
    <w:p w14:paraId="316AF7B6">
      <w:pPr>
        <w:pStyle w:val="50"/>
        <w:spacing w:line="360" w:lineRule="auto"/>
        <w:rPr>
          <w:rFonts w:hAnsi="宋体"/>
          <w:sz w:val="28"/>
          <w:szCs w:val="24"/>
        </w:rPr>
      </w:pPr>
      <w:r>
        <w:rPr>
          <w:rFonts w:hint="eastAsia" w:hAnsi="宋体"/>
          <w:sz w:val="28"/>
          <w:szCs w:val="24"/>
        </w:rPr>
        <w:t>每种运输方式的产品运输的数量和重量；</w:t>
      </w:r>
    </w:p>
    <w:p w14:paraId="6FADC3E0">
      <w:pPr>
        <w:pStyle w:val="50"/>
        <w:spacing w:line="360" w:lineRule="auto"/>
        <w:rPr>
          <w:rFonts w:hAnsi="宋体"/>
          <w:sz w:val="28"/>
          <w:szCs w:val="24"/>
        </w:rPr>
      </w:pPr>
      <w:r>
        <w:rPr>
          <w:rFonts w:hint="eastAsia" w:hAnsi="宋体"/>
          <w:sz w:val="28"/>
          <w:szCs w:val="24"/>
        </w:rPr>
        <w:t>每种运输方式的能源消耗量，或其它可计算获得能源消耗量的数据；</w:t>
      </w:r>
    </w:p>
    <w:p w14:paraId="78406281">
      <w:pPr>
        <w:pStyle w:val="50"/>
        <w:spacing w:line="360" w:lineRule="auto"/>
        <w:rPr>
          <w:rFonts w:hAnsi="宋体"/>
          <w:sz w:val="28"/>
          <w:szCs w:val="24"/>
        </w:rPr>
      </w:pPr>
      <w:r>
        <w:rPr>
          <w:rFonts w:hint="eastAsia" w:hAnsi="宋体"/>
          <w:sz w:val="28"/>
          <w:szCs w:val="24"/>
        </w:rPr>
        <w:t>每种运输方式的吨公里数。其它可计算获得能源消耗量的数据包括单位距离能源消耗量和运输距离、运输费用和能源单价等。</w:t>
      </w:r>
    </w:p>
    <w:p w14:paraId="590FF210">
      <w:pPr>
        <w:pStyle w:val="52"/>
        <w:spacing w:line="360" w:lineRule="auto"/>
        <w:rPr>
          <w:rFonts w:hAnsi="宋体"/>
          <w:sz w:val="28"/>
          <w:szCs w:val="24"/>
        </w:rPr>
      </w:pPr>
      <w:r>
        <w:rPr>
          <w:rFonts w:hint="eastAsia" w:hAnsi="宋体"/>
          <w:sz w:val="28"/>
          <w:szCs w:val="24"/>
        </w:rPr>
        <w:t>运输相关的温室气体排放与清除因子可收集次级数据。</w:t>
      </w:r>
    </w:p>
    <w:p w14:paraId="53C62BC0">
      <w:pPr>
        <w:pStyle w:val="47"/>
        <w:spacing w:before="0" w:beforeLines="0" w:after="0" w:afterLines="0" w:line="360" w:lineRule="auto"/>
        <w:outlineLvl w:val="9"/>
        <w:rPr>
          <w:rFonts w:ascii="宋体" w:hAnsi="宋体" w:eastAsia="宋体"/>
          <w:sz w:val="28"/>
          <w:szCs w:val="24"/>
        </w:rPr>
      </w:pPr>
      <w:bookmarkStart w:id="41" w:name="_Toc212018403"/>
      <w:bookmarkStart w:id="42" w:name="_Toc212021799"/>
      <w:r>
        <w:rPr>
          <w:rFonts w:hint="eastAsia" w:ascii="宋体" w:hAnsi="宋体" w:eastAsia="宋体"/>
          <w:sz w:val="28"/>
          <w:szCs w:val="24"/>
        </w:rPr>
        <w:t>分配与计算</w:t>
      </w:r>
      <w:bookmarkEnd w:id="41"/>
      <w:bookmarkEnd w:id="42"/>
    </w:p>
    <w:p w14:paraId="748939B7">
      <w:pPr>
        <w:pStyle w:val="48"/>
        <w:spacing w:before="0" w:beforeLines="0" w:after="0" w:afterLines="0" w:line="360" w:lineRule="auto"/>
        <w:outlineLvl w:val="9"/>
        <w:rPr>
          <w:rFonts w:ascii="宋体" w:hAnsi="宋体" w:eastAsia="宋体"/>
          <w:sz w:val="28"/>
          <w:szCs w:val="24"/>
        </w:rPr>
      </w:pPr>
      <w:r>
        <w:rPr>
          <w:rFonts w:ascii="宋体" w:hAnsi="宋体" w:eastAsia="宋体"/>
          <w:sz w:val="28"/>
          <w:szCs w:val="24"/>
        </w:rPr>
        <w:t>分配</w:t>
      </w:r>
    </w:p>
    <w:p w14:paraId="4F7820EF">
      <w:pPr>
        <w:pStyle w:val="53"/>
        <w:spacing w:line="360" w:lineRule="auto"/>
        <w:rPr>
          <w:rFonts w:hAnsi="宋体"/>
          <w:sz w:val="28"/>
          <w:szCs w:val="24"/>
        </w:rPr>
      </w:pPr>
      <w:r>
        <w:rPr>
          <w:rFonts w:hAnsi="宋体"/>
          <w:sz w:val="28"/>
          <w:szCs w:val="24"/>
        </w:rPr>
        <w:t>分配应符合GB/T 24040、GB/T 24044、GB/T 24062、GB/T 32150、ISO14067:2018的要求。</w:t>
      </w:r>
    </w:p>
    <w:p w14:paraId="4E94499D">
      <w:pPr>
        <w:pStyle w:val="53"/>
        <w:spacing w:line="360" w:lineRule="auto"/>
        <w:rPr>
          <w:rFonts w:hAnsi="宋体"/>
          <w:sz w:val="28"/>
          <w:szCs w:val="24"/>
        </w:rPr>
      </w:pPr>
      <w:r>
        <w:rPr>
          <w:rFonts w:hAnsi="宋体"/>
          <w:sz w:val="28"/>
          <w:szCs w:val="24"/>
        </w:rPr>
        <w:t>对包含多个产品或循环体系的系统，宜避免分配。若分配无法避免，考虑以下方面：</w:t>
      </w:r>
    </w:p>
    <w:p w14:paraId="29D8EF3E">
      <w:pPr>
        <w:pStyle w:val="50"/>
        <w:spacing w:line="360" w:lineRule="auto"/>
        <w:rPr>
          <w:rFonts w:hAnsi="宋体"/>
          <w:sz w:val="28"/>
          <w:szCs w:val="24"/>
        </w:rPr>
      </w:pPr>
      <w:r>
        <w:rPr>
          <w:rFonts w:hAnsi="宋体"/>
          <w:sz w:val="28"/>
          <w:szCs w:val="24"/>
        </w:rPr>
        <w:t>优先使用物理关系进行分配；</w:t>
      </w:r>
    </w:p>
    <w:p w14:paraId="025EE3E3">
      <w:pPr>
        <w:pStyle w:val="50"/>
        <w:spacing w:line="360" w:lineRule="auto"/>
        <w:rPr>
          <w:rFonts w:hAnsi="宋体"/>
          <w:sz w:val="28"/>
          <w:szCs w:val="24"/>
        </w:rPr>
      </w:pPr>
      <w:r>
        <w:rPr>
          <w:rFonts w:hAnsi="宋体"/>
          <w:sz w:val="28"/>
          <w:szCs w:val="24"/>
        </w:rPr>
        <w:t>若无法建立物理关系，宜根据经济价值或其它关系进行分配，且应提供所使用分配关系的依据及计算说明</w:t>
      </w:r>
      <w:r>
        <w:rPr>
          <w:rFonts w:hint="eastAsia" w:hAnsi="宋体"/>
          <w:sz w:val="28"/>
          <w:szCs w:val="24"/>
        </w:rPr>
        <w:t>。</w:t>
      </w:r>
    </w:p>
    <w:p w14:paraId="0D591E16">
      <w:pPr>
        <w:pStyle w:val="56"/>
        <w:spacing w:line="360" w:lineRule="auto"/>
        <w:rPr>
          <w:rFonts w:hAnsi="宋体"/>
          <w:sz w:val="22"/>
          <w:szCs w:val="22"/>
        </w:rPr>
      </w:pPr>
      <w:r>
        <w:rPr>
          <w:rFonts w:hAnsi="宋体"/>
          <w:sz w:val="22"/>
          <w:szCs w:val="22"/>
        </w:rPr>
        <w:t>物理关系包括数量、质量、工时等</w:t>
      </w:r>
      <w:r>
        <w:rPr>
          <w:rFonts w:hint="eastAsia" w:hAnsi="宋体"/>
          <w:sz w:val="22"/>
          <w:szCs w:val="22"/>
        </w:rPr>
        <w:t>内容</w:t>
      </w:r>
      <w:r>
        <w:rPr>
          <w:rFonts w:hAnsi="宋体"/>
          <w:sz w:val="22"/>
          <w:szCs w:val="22"/>
        </w:rPr>
        <w:t>。</w:t>
      </w:r>
    </w:p>
    <w:p w14:paraId="2EE3E253">
      <w:pPr>
        <w:pStyle w:val="48"/>
        <w:spacing w:before="0" w:beforeLines="0" w:after="0" w:afterLines="0" w:line="360" w:lineRule="auto"/>
        <w:outlineLvl w:val="9"/>
        <w:rPr>
          <w:rFonts w:ascii="宋体" w:hAnsi="宋体" w:eastAsia="宋体"/>
          <w:sz w:val="28"/>
          <w:szCs w:val="24"/>
        </w:rPr>
      </w:pPr>
      <w:r>
        <w:rPr>
          <w:rFonts w:ascii="宋体" w:hAnsi="宋体" w:eastAsia="宋体"/>
          <w:sz w:val="28"/>
          <w:szCs w:val="24"/>
        </w:rPr>
        <w:t>计算</w:t>
      </w:r>
    </w:p>
    <w:p w14:paraId="776E5AB2">
      <w:pPr>
        <w:pStyle w:val="53"/>
        <w:spacing w:line="360" w:lineRule="auto"/>
        <w:rPr>
          <w:rFonts w:hAnsi="宋体"/>
          <w:sz w:val="28"/>
          <w:szCs w:val="24"/>
        </w:rPr>
      </w:pPr>
      <w:r>
        <w:rPr>
          <w:rFonts w:hint="eastAsia" w:hAnsi="宋体"/>
          <w:sz w:val="28"/>
          <w:szCs w:val="24"/>
        </w:rPr>
        <w:t>刹车盘盖板产品碳足迹的核算应包括原材料获取阶段、生产阶段、分销阶段涉及的所有单元过程，计算见公式（</w:t>
      </w:r>
      <w:r>
        <w:rPr>
          <w:rFonts w:hAnsi="宋体"/>
          <w:sz w:val="28"/>
          <w:szCs w:val="24"/>
        </w:rPr>
        <w:t>1</w:t>
      </w:r>
      <w:r>
        <w:rPr>
          <w:rFonts w:hint="eastAsia" w:hAnsi="宋体"/>
          <w:sz w:val="28"/>
          <w:szCs w:val="24"/>
        </w:rPr>
        <w:t>）：</w:t>
      </w:r>
    </w:p>
    <w:p w14:paraId="5F9A68FB">
      <w:pPr>
        <w:tabs>
          <w:tab w:val="center" w:pos="4678"/>
          <w:tab w:val="right" w:leader="middleDot" w:pos="9356"/>
        </w:tabs>
        <w:spacing w:line="360" w:lineRule="auto"/>
        <w:rPr>
          <w:rFonts w:hint="eastAsia" w:ascii="宋体" w:hAnsi="宋体" w:eastAsia="宋体"/>
          <w:sz w:val="28"/>
          <w:szCs w:val="32"/>
        </w:rPr>
      </w:pPr>
      <w:r>
        <w:rPr>
          <w:rFonts w:hint="eastAsia" w:ascii="宋体" w:hAnsi="宋体" w:eastAsia="宋体"/>
          <w:sz w:val="28"/>
          <w:szCs w:val="32"/>
        </w:rPr>
        <w:tab/>
      </w:r>
      <m:oMath>
        <m:sSub>
          <m:sSubPr>
            <m:ctrlPr>
              <w:rPr>
                <w:rFonts w:ascii="Cambria Math" w:hAnsi="Cambria Math" w:eastAsia="宋体"/>
                <w:i/>
                <w:spacing w:val="-4"/>
                <w:sz w:val="28"/>
                <w:szCs w:val="32"/>
              </w:rPr>
            </m:ctrlPr>
          </m:sSubPr>
          <m:e>
            <m:r>
              <m:rPr/>
              <w:rPr>
                <w:rFonts w:ascii="Cambria Math" w:hAnsi="Cambria Math" w:eastAsia="宋体"/>
                <w:spacing w:val="-4"/>
                <w:sz w:val="28"/>
                <w:szCs w:val="32"/>
              </w:rPr>
              <m:t>CFP</m:t>
            </m:r>
            <m:ctrlPr>
              <w:rPr>
                <w:rFonts w:ascii="Cambria Math" w:hAnsi="Cambria Math" w:eastAsia="宋体"/>
                <w:i/>
                <w:spacing w:val="-4"/>
                <w:sz w:val="28"/>
                <w:szCs w:val="32"/>
              </w:rPr>
            </m:ctrlPr>
          </m:e>
          <m:sub>
            <m:r>
              <m:rPr/>
              <w:rPr>
                <w:rFonts w:ascii="Cambria Math" w:hAnsi="Cambria Math" w:eastAsia="宋体"/>
                <w:spacing w:val="-4"/>
                <w:sz w:val="28"/>
                <w:szCs w:val="32"/>
              </w:rPr>
              <m:t>产品</m:t>
            </m:r>
            <m:ctrlPr>
              <w:rPr>
                <w:rFonts w:ascii="Cambria Math" w:hAnsi="Cambria Math" w:eastAsia="宋体"/>
                <w:i/>
                <w:spacing w:val="-4"/>
                <w:sz w:val="28"/>
                <w:szCs w:val="32"/>
              </w:rPr>
            </m:ctrlPr>
          </m:sub>
        </m:sSub>
        <m:r>
          <m:rPr/>
          <w:rPr>
            <w:rFonts w:ascii="Cambria Math" w:hAnsi="Cambria Math" w:eastAsia="宋体"/>
            <w:spacing w:val="-4"/>
            <w:sz w:val="28"/>
            <w:szCs w:val="32"/>
          </w:rPr>
          <m:t>=</m:t>
        </m:r>
        <m:f>
          <m:fPr>
            <m:ctrlPr>
              <w:rPr>
                <w:rFonts w:ascii="Cambria Math" w:hAnsi="Cambria Math" w:eastAsia="宋体"/>
                <w:i/>
                <w:sz w:val="28"/>
                <w:szCs w:val="32"/>
              </w:rPr>
            </m:ctrlPr>
          </m:fPr>
          <m:num>
            <m:sSub>
              <m:sSubPr>
                <m:ctrlPr>
                  <w:rPr>
                    <w:rFonts w:ascii="Cambria Math" w:hAnsi="Cambria Math" w:eastAsia="宋体"/>
                    <w:i/>
                    <w:sz w:val="28"/>
                    <w:szCs w:val="32"/>
                  </w:rPr>
                </m:ctrlPr>
              </m:sSubPr>
              <m:e>
                <m:r>
                  <m:rPr/>
                  <w:rPr>
                    <w:rFonts w:ascii="Cambria Math" w:hAnsi="Cambria Math" w:eastAsia="宋体"/>
                    <w:sz w:val="28"/>
                    <w:szCs w:val="32"/>
                  </w:rPr>
                  <m:t>E</m:t>
                </m:r>
                <m:ctrlPr>
                  <w:rPr>
                    <w:rFonts w:ascii="Cambria Math" w:hAnsi="Cambria Math" w:eastAsia="宋体"/>
                    <w:i/>
                    <w:sz w:val="28"/>
                    <w:szCs w:val="32"/>
                  </w:rPr>
                </m:ctrlPr>
              </m:e>
              <m:sub>
                <m:r>
                  <m:rPr/>
                  <w:rPr>
                    <w:rFonts w:ascii="Cambria Math" w:hAnsi="Cambria Math" w:eastAsia="宋体"/>
                    <w:sz w:val="28"/>
                    <w:szCs w:val="32"/>
                  </w:rPr>
                  <m:t>运输</m:t>
                </m:r>
                <m:ctrlPr>
                  <w:rPr>
                    <w:rFonts w:ascii="Cambria Math" w:hAnsi="Cambria Math" w:eastAsia="宋体"/>
                    <w:i/>
                    <w:sz w:val="28"/>
                    <w:szCs w:val="32"/>
                  </w:rPr>
                </m:ctrlPr>
              </m:sub>
            </m:sSub>
            <m:r>
              <m:rPr/>
              <w:rPr>
                <w:rFonts w:ascii="Cambria Math" w:hAnsi="Cambria Math" w:eastAsia="宋体"/>
                <w:sz w:val="28"/>
                <w:szCs w:val="32"/>
              </w:rPr>
              <m:t>+</m:t>
            </m:r>
            <m:sSub>
              <m:sSubPr>
                <m:ctrlPr>
                  <w:rPr>
                    <w:rFonts w:ascii="Cambria Math" w:hAnsi="Cambria Math" w:eastAsia="宋体"/>
                    <w:i/>
                    <w:sz w:val="28"/>
                    <w:szCs w:val="32"/>
                  </w:rPr>
                </m:ctrlPr>
              </m:sSubPr>
              <m:e>
                <m:r>
                  <m:rPr/>
                  <w:rPr>
                    <w:rFonts w:ascii="Cambria Math" w:hAnsi="Cambria Math" w:eastAsia="宋体"/>
                    <w:sz w:val="28"/>
                    <w:szCs w:val="32"/>
                  </w:rPr>
                  <m:t>E</m:t>
                </m:r>
                <m:ctrlPr>
                  <w:rPr>
                    <w:rFonts w:ascii="Cambria Math" w:hAnsi="Cambria Math" w:eastAsia="宋体"/>
                    <w:i/>
                    <w:sz w:val="28"/>
                    <w:szCs w:val="32"/>
                  </w:rPr>
                </m:ctrlPr>
              </m:e>
              <m:sub>
                <m:r>
                  <m:rPr/>
                  <w:rPr>
                    <w:rFonts w:ascii="Cambria Math" w:hAnsi="Cambria Math" w:eastAsia="宋体"/>
                    <w:sz w:val="28"/>
                    <w:szCs w:val="32"/>
                  </w:rPr>
                  <m:t>生产</m:t>
                </m:r>
                <m:ctrlPr>
                  <w:rPr>
                    <w:rFonts w:ascii="Cambria Math" w:hAnsi="Cambria Math" w:eastAsia="宋体"/>
                    <w:i/>
                    <w:sz w:val="28"/>
                    <w:szCs w:val="32"/>
                  </w:rPr>
                </m:ctrlPr>
              </m:sub>
            </m:sSub>
            <m:ctrlPr>
              <w:rPr>
                <w:rFonts w:ascii="Cambria Math" w:hAnsi="Cambria Math" w:eastAsia="宋体"/>
                <w:i/>
                <w:sz w:val="28"/>
                <w:szCs w:val="32"/>
              </w:rPr>
            </m:ctrlPr>
          </m:num>
          <m:den>
            <m:r>
              <m:rPr/>
              <w:rPr>
                <w:rFonts w:ascii="Cambria Math" w:hAnsi="Cambria Math" w:eastAsia="宋体"/>
                <w:sz w:val="28"/>
                <w:szCs w:val="32"/>
              </w:rPr>
              <m:t>Q</m:t>
            </m:r>
            <m:ctrlPr>
              <w:rPr>
                <w:rFonts w:ascii="Cambria Math" w:hAnsi="Cambria Math" w:eastAsia="宋体"/>
                <w:i/>
                <w:sz w:val="28"/>
                <w:szCs w:val="32"/>
              </w:rPr>
            </m:ctrlPr>
          </m:den>
        </m:f>
        <m:r>
          <m:rPr/>
          <w:rPr>
            <w:rFonts w:ascii="Cambria Math" w:hAnsi="Cambria Math" w:eastAsia="宋体"/>
            <w:sz w:val="28"/>
            <w:szCs w:val="32"/>
          </w:rPr>
          <m:t>+</m:t>
        </m:r>
        <m:nary>
          <m:naryPr>
            <m:chr m:val="∑"/>
            <m:limLoc m:val="undOvr"/>
            <m:subHide m:val="1"/>
            <m:supHide m:val="1"/>
            <m:ctrlPr>
              <w:rPr>
                <w:rFonts w:ascii="Cambria Math" w:hAnsi="Cambria Math" w:eastAsia="宋体"/>
                <w:i/>
                <w:sz w:val="28"/>
                <w:szCs w:val="32"/>
              </w:rPr>
            </m:ctrlPr>
          </m:naryPr>
          <m:sub>
            <m:ctrlPr>
              <w:rPr>
                <w:rFonts w:ascii="Cambria Math" w:hAnsi="Cambria Math" w:eastAsia="宋体"/>
                <w:i/>
                <w:sz w:val="28"/>
                <w:szCs w:val="32"/>
              </w:rPr>
            </m:ctrlPr>
          </m:sub>
          <m:sup>
            <m:ctrlPr>
              <w:rPr>
                <w:rFonts w:ascii="Cambria Math" w:hAnsi="Cambria Math" w:eastAsia="宋体"/>
                <w:i/>
                <w:sz w:val="28"/>
                <w:szCs w:val="32"/>
              </w:rPr>
            </m:ctrlPr>
          </m:sup>
          <m:e>
            <m:sSub>
              <m:sSubPr>
                <m:ctrlPr>
                  <w:rPr>
                    <w:rFonts w:ascii="Cambria Math" w:hAnsi="Cambria Math" w:eastAsia="宋体"/>
                    <w:i/>
                    <w:sz w:val="28"/>
                    <w:szCs w:val="32"/>
                  </w:rPr>
                </m:ctrlPr>
              </m:sSubPr>
              <m:e>
                <m:r>
                  <m:rPr/>
                  <w:rPr>
                    <w:rFonts w:ascii="Cambria Math" w:hAnsi="Cambria Math" w:eastAsia="宋体"/>
                    <w:sz w:val="28"/>
                    <w:szCs w:val="32"/>
                  </w:rPr>
                  <m:t>CFP</m:t>
                </m:r>
                <m:ctrlPr>
                  <w:rPr>
                    <w:rFonts w:ascii="Cambria Math" w:hAnsi="Cambria Math" w:eastAsia="宋体"/>
                    <w:i/>
                    <w:sz w:val="28"/>
                    <w:szCs w:val="32"/>
                  </w:rPr>
                </m:ctrlPr>
              </m:e>
              <m:sub>
                <m:r>
                  <m:rPr/>
                  <w:rPr>
                    <w:rFonts w:ascii="Cambria Math" w:hAnsi="Cambria Math" w:eastAsia="宋体"/>
                    <w:sz w:val="28"/>
                    <w:szCs w:val="32"/>
                  </w:rPr>
                  <m:t>原材料</m:t>
                </m:r>
                <m:ctrlPr>
                  <w:rPr>
                    <w:rFonts w:ascii="Cambria Math" w:hAnsi="Cambria Math" w:eastAsia="宋体"/>
                    <w:i/>
                    <w:sz w:val="28"/>
                    <w:szCs w:val="32"/>
                  </w:rPr>
                </m:ctrlPr>
              </m:sub>
            </m:sSub>
            <m:ctrlPr>
              <w:rPr>
                <w:rFonts w:ascii="Cambria Math" w:hAnsi="Cambria Math" w:eastAsia="宋体"/>
                <w:i/>
                <w:sz w:val="28"/>
                <w:szCs w:val="32"/>
              </w:rPr>
            </m:ctrlPr>
          </m:e>
        </m:nary>
      </m:oMath>
      <w:r>
        <w:rPr>
          <w:rFonts w:hint="eastAsia" w:ascii="宋体" w:hAnsi="宋体" w:eastAsia="宋体"/>
          <w:sz w:val="28"/>
          <w:szCs w:val="32"/>
        </w:rPr>
        <w:tab/>
      </w:r>
      <w:r>
        <w:rPr>
          <w:rFonts w:hint="eastAsia" w:ascii="宋体" w:hAnsi="宋体" w:eastAsia="宋体"/>
          <w:sz w:val="28"/>
          <w:szCs w:val="32"/>
        </w:rPr>
        <w:t>(</w:t>
      </w:r>
      <w:r>
        <w:rPr>
          <w:rFonts w:ascii="宋体" w:hAnsi="宋体" w:eastAsia="宋体"/>
          <w:sz w:val="28"/>
          <w:szCs w:val="32"/>
        </w:rPr>
        <w:t>1</w:t>
      </w:r>
      <w:r>
        <w:rPr>
          <w:rFonts w:hint="eastAsia" w:ascii="宋体" w:hAnsi="宋体" w:eastAsia="宋体"/>
          <w:sz w:val="28"/>
          <w:szCs w:val="32"/>
        </w:rPr>
        <w:t>)</w:t>
      </w:r>
    </w:p>
    <w:p w14:paraId="41BA4B03">
      <w:pPr>
        <w:spacing w:line="360" w:lineRule="auto"/>
        <w:ind w:firstLine="544" w:firstLineChars="200"/>
        <w:rPr>
          <w:rFonts w:hint="eastAsia" w:ascii="宋体" w:hAnsi="宋体" w:eastAsia="宋体" w:cs="宋体"/>
          <w:spacing w:val="-4"/>
          <w:kern w:val="0"/>
          <w:sz w:val="28"/>
          <w:szCs w:val="32"/>
        </w:rPr>
      </w:pPr>
      <w:r>
        <w:rPr>
          <w:rFonts w:hint="eastAsia" w:ascii="宋体" w:hAnsi="宋体" w:eastAsia="宋体" w:cs="宋体"/>
          <w:spacing w:val="-4"/>
          <w:sz w:val="28"/>
          <w:szCs w:val="32"/>
        </w:rPr>
        <w:t>式中：</w:t>
      </w:r>
    </w:p>
    <w:p w14:paraId="22DC8629">
      <w:pPr>
        <w:spacing w:line="360" w:lineRule="auto"/>
        <w:ind w:firstLine="544" w:firstLineChars="200"/>
        <w:rPr>
          <w:rFonts w:ascii="宋体" w:hAnsi="宋体" w:eastAsia="宋体"/>
          <w:spacing w:val="-4"/>
          <w:sz w:val="28"/>
          <w:szCs w:val="32"/>
        </w:rPr>
      </w:pPr>
      <m:oMath>
        <m:sSub>
          <m:sSubPr>
            <m:ctrlPr>
              <w:rPr>
                <w:rFonts w:ascii="Cambria Math" w:hAnsi="Cambria Math" w:eastAsia="宋体"/>
                <w:i/>
                <w:spacing w:val="-4"/>
                <w:sz w:val="28"/>
                <w:szCs w:val="32"/>
              </w:rPr>
            </m:ctrlPr>
          </m:sSubPr>
          <m:e>
            <m:r>
              <m:rPr/>
              <w:rPr>
                <w:rFonts w:ascii="Cambria Math" w:hAnsi="Cambria Math" w:eastAsia="宋体"/>
                <w:spacing w:val="-4"/>
                <w:sz w:val="28"/>
                <w:szCs w:val="32"/>
              </w:rPr>
              <m:t>CFP</m:t>
            </m:r>
            <m:ctrlPr>
              <w:rPr>
                <w:rFonts w:ascii="Cambria Math" w:hAnsi="Cambria Math" w:eastAsia="宋体"/>
                <w:i/>
                <w:spacing w:val="-4"/>
                <w:sz w:val="28"/>
                <w:szCs w:val="32"/>
              </w:rPr>
            </m:ctrlPr>
          </m:e>
          <m:sub>
            <m:r>
              <m:rPr/>
              <w:rPr>
                <w:rFonts w:hint="eastAsia" w:ascii="Cambria Math" w:hAnsi="Cambria Math" w:eastAsia="宋体"/>
                <w:spacing w:val="-4"/>
                <w:sz w:val="28"/>
                <w:szCs w:val="32"/>
              </w:rPr>
              <m:t>产品</m:t>
            </m:r>
            <m:ctrlPr>
              <w:rPr>
                <w:rFonts w:ascii="Cambria Math" w:hAnsi="Cambria Math" w:eastAsia="宋体"/>
                <w:i/>
                <w:spacing w:val="-4"/>
                <w:sz w:val="28"/>
                <w:szCs w:val="32"/>
              </w:rPr>
            </m:ctrlPr>
          </m:sub>
        </m:sSub>
      </m:oMath>
      <w:r>
        <w:rPr>
          <w:rFonts w:ascii="宋体" w:hAnsi="宋体" w:eastAsia="宋体"/>
          <w:spacing w:val="-4"/>
          <w:sz w:val="28"/>
          <w:szCs w:val="32"/>
        </w:rPr>
        <w:t>——</w:t>
      </w:r>
      <w:r>
        <w:rPr>
          <w:rFonts w:hint="eastAsia" w:ascii="宋体" w:hAnsi="宋体" w:eastAsia="宋体"/>
          <w:spacing w:val="-4"/>
          <w:sz w:val="28"/>
          <w:szCs w:val="32"/>
        </w:rPr>
        <w:t>刹车盘盖板产品碳足迹，即声明单位刹车盘盖板从摇篮到大门温室气体排放量（</w:t>
      </w:r>
      <w:r>
        <w:rPr>
          <w:rFonts w:ascii="宋体" w:hAnsi="宋体" w:eastAsia="宋体"/>
          <w:spacing w:val="-4"/>
          <w:sz w:val="28"/>
          <w:szCs w:val="32"/>
        </w:rPr>
        <w:t>kgCO</w:t>
      </w:r>
      <w:r>
        <w:rPr>
          <w:rFonts w:ascii="宋体" w:hAnsi="宋体" w:eastAsia="宋体"/>
          <w:spacing w:val="-4"/>
          <w:sz w:val="28"/>
          <w:szCs w:val="32"/>
          <w:vertAlign w:val="subscript"/>
        </w:rPr>
        <w:t>2</w:t>
      </w:r>
      <w:r>
        <w:rPr>
          <w:rFonts w:ascii="宋体" w:hAnsi="宋体" w:eastAsia="宋体"/>
          <w:spacing w:val="-4"/>
          <w:sz w:val="28"/>
          <w:szCs w:val="32"/>
        </w:rPr>
        <w:t>e/</w:t>
      </w:r>
      <w:r>
        <w:rPr>
          <w:rFonts w:hint="eastAsia" w:ascii="宋体" w:hAnsi="宋体" w:eastAsia="宋体"/>
          <w:spacing w:val="-4"/>
          <w:sz w:val="28"/>
          <w:szCs w:val="32"/>
        </w:rPr>
        <w:t>kg）；</w:t>
      </w:r>
    </w:p>
    <w:p w14:paraId="0113A518">
      <w:pPr>
        <w:spacing w:line="360" w:lineRule="auto"/>
        <w:ind w:firstLine="544" w:firstLineChars="200"/>
        <w:rPr>
          <w:rFonts w:ascii="宋体" w:hAnsi="宋体" w:eastAsia="宋体"/>
          <w:spacing w:val="-4"/>
          <w:sz w:val="28"/>
          <w:szCs w:val="32"/>
        </w:rPr>
      </w:pPr>
      <m:oMath>
        <m:sSub>
          <m:sSubPr>
            <m:ctrlPr>
              <w:rPr>
                <w:rFonts w:ascii="Cambria Math" w:hAnsi="Cambria Math" w:eastAsia="宋体"/>
                <w:i/>
                <w:spacing w:val="-4"/>
                <w:sz w:val="28"/>
                <w:szCs w:val="32"/>
              </w:rPr>
            </m:ctrlPr>
          </m:sSubPr>
          <m:e>
            <m:r>
              <m:rPr/>
              <w:rPr>
                <w:rFonts w:ascii="Cambria Math" w:hAnsi="Cambria Math" w:eastAsia="宋体"/>
                <w:spacing w:val="-4"/>
                <w:sz w:val="28"/>
                <w:szCs w:val="32"/>
              </w:rPr>
              <m:t>CFP</m:t>
            </m:r>
            <m:ctrlPr>
              <w:rPr>
                <w:rFonts w:ascii="Cambria Math" w:hAnsi="Cambria Math" w:eastAsia="宋体"/>
                <w:i/>
                <w:spacing w:val="-4"/>
                <w:sz w:val="28"/>
                <w:szCs w:val="32"/>
              </w:rPr>
            </m:ctrlPr>
          </m:e>
          <m:sub>
            <m:r>
              <m:rPr/>
              <w:rPr>
                <w:rFonts w:hint="eastAsia" w:ascii="Cambria Math" w:hAnsi="Cambria Math" w:eastAsia="宋体"/>
                <w:spacing w:val="-4"/>
                <w:sz w:val="28"/>
                <w:szCs w:val="32"/>
              </w:rPr>
              <m:t>原材料</m:t>
            </m:r>
            <m:ctrlPr>
              <w:rPr>
                <w:rFonts w:ascii="Cambria Math" w:hAnsi="Cambria Math" w:eastAsia="宋体"/>
                <w:i/>
                <w:spacing w:val="-4"/>
                <w:sz w:val="28"/>
                <w:szCs w:val="32"/>
              </w:rPr>
            </m:ctrlPr>
          </m:sub>
        </m:sSub>
      </m:oMath>
      <w:r>
        <w:rPr>
          <w:rFonts w:ascii="宋体" w:hAnsi="宋体" w:eastAsia="宋体"/>
          <w:spacing w:val="-4"/>
          <w:sz w:val="28"/>
          <w:szCs w:val="32"/>
        </w:rPr>
        <w:t>——</w:t>
      </w:r>
      <w:r>
        <w:rPr>
          <w:rFonts w:hint="eastAsia" w:ascii="宋体" w:hAnsi="宋体" w:eastAsia="宋体"/>
          <w:spacing w:val="-4"/>
          <w:sz w:val="28"/>
          <w:szCs w:val="32"/>
        </w:rPr>
        <w:t>原材料在获取加工阶段产生的对应单位刹车盘盖板产品的温室气体排放量（kgCO</w:t>
      </w:r>
      <w:r>
        <w:rPr>
          <w:rFonts w:hint="eastAsia" w:ascii="宋体" w:hAnsi="宋体" w:eastAsia="宋体"/>
          <w:spacing w:val="-4"/>
          <w:sz w:val="28"/>
          <w:szCs w:val="32"/>
          <w:vertAlign w:val="subscript"/>
        </w:rPr>
        <w:t>2</w:t>
      </w:r>
      <w:r>
        <w:rPr>
          <w:rFonts w:hint="eastAsia" w:ascii="宋体" w:hAnsi="宋体" w:eastAsia="宋体"/>
          <w:spacing w:val="-4"/>
          <w:sz w:val="28"/>
          <w:szCs w:val="32"/>
        </w:rPr>
        <w:t>e/kg）；</w:t>
      </w:r>
    </w:p>
    <w:p w14:paraId="69B14728">
      <w:pPr>
        <w:spacing w:line="360" w:lineRule="auto"/>
        <w:ind w:firstLine="560" w:firstLineChars="200"/>
        <w:rPr>
          <w:rFonts w:ascii="宋体" w:hAnsi="宋体" w:eastAsia="宋体"/>
          <w:spacing w:val="-4"/>
          <w:sz w:val="28"/>
          <w:szCs w:val="32"/>
        </w:rPr>
      </w:pPr>
      <m:oMath>
        <m:sSub>
          <m:sSubPr>
            <m:ctrlPr>
              <w:rPr>
                <w:rFonts w:ascii="Cambria Math" w:hAnsi="Cambria Math" w:eastAsia="宋体"/>
                <w:i/>
                <w:sz w:val="28"/>
                <w:szCs w:val="32"/>
              </w:rPr>
            </m:ctrlPr>
          </m:sSubPr>
          <m:e>
            <m:r>
              <m:rPr/>
              <w:rPr>
                <w:rFonts w:ascii="Cambria Math" w:hAnsi="Cambria Math" w:eastAsia="宋体"/>
                <w:sz w:val="28"/>
                <w:szCs w:val="32"/>
              </w:rPr>
              <m:t>E</m:t>
            </m:r>
            <m:ctrlPr>
              <w:rPr>
                <w:rFonts w:ascii="Cambria Math" w:hAnsi="Cambria Math" w:eastAsia="宋体"/>
                <w:i/>
                <w:sz w:val="28"/>
                <w:szCs w:val="32"/>
              </w:rPr>
            </m:ctrlPr>
          </m:e>
          <m:sub>
            <m:r>
              <m:rPr/>
              <w:rPr>
                <w:rFonts w:hint="eastAsia" w:ascii="Cambria Math" w:hAnsi="Cambria Math" w:eastAsia="宋体"/>
                <w:sz w:val="28"/>
                <w:szCs w:val="32"/>
              </w:rPr>
              <m:t>运输</m:t>
            </m:r>
            <m:ctrlPr>
              <w:rPr>
                <w:rFonts w:ascii="Cambria Math" w:hAnsi="Cambria Math" w:eastAsia="宋体"/>
                <w:i/>
                <w:sz w:val="28"/>
                <w:szCs w:val="32"/>
              </w:rPr>
            </m:ctrlPr>
          </m:sub>
        </m:sSub>
      </m:oMath>
      <w:r>
        <w:rPr>
          <w:rFonts w:ascii="宋体" w:hAnsi="宋体" w:eastAsia="宋体"/>
          <w:spacing w:val="-4"/>
          <w:sz w:val="28"/>
          <w:szCs w:val="32"/>
          <w:vertAlign w:val="subscript"/>
        </w:rPr>
        <w:t xml:space="preserve"> </w:t>
      </w:r>
      <w:r>
        <w:rPr>
          <w:rFonts w:ascii="宋体" w:hAnsi="宋体" w:eastAsia="宋体"/>
          <w:spacing w:val="-4"/>
          <w:sz w:val="28"/>
          <w:szCs w:val="32"/>
        </w:rPr>
        <w:t>——</w:t>
      </w:r>
      <w:r>
        <w:rPr>
          <w:rFonts w:hint="eastAsia" w:ascii="宋体" w:hAnsi="宋体" w:eastAsia="宋体"/>
          <w:spacing w:val="-4"/>
          <w:sz w:val="28"/>
          <w:szCs w:val="32"/>
        </w:rPr>
        <w:t>原材料等运输产生的</w:t>
      </w:r>
      <w:r>
        <w:rPr>
          <w:rFonts w:hint="eastAsia" w:ascii="宋体" w:hAnsi="宋体" w:eastAsia="宋体"/>
          <w:sz w:val="28"/>
          <w:szCs w:val="32"/>
        </w:rPr>
        <w:t>温室气体排放量</w:t>
      </w:r>
      <w:r>
        <w:rPr>
          <w:rFonts w:hint="eastAsia" w:ascii="宋体" w:hAnsi="宋体" w:eastAsia="宋体"/>
          <w:spacing w:val="-4"/>
          <w:sz w:val="28"/>
          <w:szCs w:val="32"/>
        </w:rPr>
        <w:t>（</w:t>
      </w:r>
      <w:r>
        <w:rPr>
          <w:rFonts w:ascii="宋体" w:hAnsi="宋体" w:eastAsia="宋体"/>
          <w:spacing w:val="-4"/>
          <w:sz w:val="28"/>
          <w:szCs w:val="32"/>
        </w:rPr>
        <w:t>kgCO</w:t>
      </w:r>
      <w:r>
        <w:rPr>
          <w:rFonts w:ascii="宋体" w:hAnsi="宋体" w:eastAsia="宋体"/>
          <w:spacing w:val="-4"/>
          <w:sz w:val="28"/>
          <w:szCs w:val="32"/>
          <w:vertAlign w:val="subscript"/>
        </w:rPr>
        <w:t>2</w:t>
      </w:r>
      <w:r>
        <w:rPr>
          <w:rFonts w:ascii="宋体" w:hAnsi="宋体" w:eastAsia="宋体"/>
          <w:spacing w:val="-4"/>
          <w:sz w:val="28"/>
          <w:szCs w:val="32"/>
        </w:rPr>
        <w:t>e</w:t>
      </w:r>
      <w:r>
        <w:rPr>
          <w:rFonts w:hint="eastAsia" w:ascii="宋体" w:hAnsi="宋体" w:eastAsia="宋体"/>
          <w:spacing w:val="-4"/>
          <w:sz w:val="28"/>
          <w:szCs w:val="32"/>
        </w:rPr>
        <w:t>）；</w:t>
      </w:r>
    </w:p>
    <w:p w14:paraId="5103C7A3">
      <w:pPr>
        <w:spacing w:line="360" w:lineRule="auto"/>
        <w:ind w:firstLine="560" w:firstLineChars="200"/>
        <w:rPr>
          <w:rFonts w:ascii="宋体" w:hAnsi="宋体" w:eastAsia="宋体"/>
          <w:spacing w:val="-4"/>
          <w:sz w:val="28"/>
          <w:szCs w:val="32"/>
        </w:rPr>
      </w:pPr>
      <m:oMath>
        <m:sSub>
          <m:sSubPr>
            <m:ctrlPr>
              <w:rPr>
                <w:rFonts w:ascii="Cambria Math" w:hAnsi="Cambria Math" w:eastAsia="宋体"/>
                <w:i/>
                <w:sz w:val="28"/>
                <w:szCs w:val="32"/>
              </w:rPr>
            </m:ctrlPr>
          </m:sSubPr>
          <m:e>
            <m:r>
              <m:rPr/>
              <w:rPr>
                <w:rFonts w:ascii="Cambria Math" w:hAnsi="Cambria Math" w:eastAsia="宋体"/>
                <w:sz w:val="28"/>
                <w:szCs w:val="32"/>
              </w:rPr>
              <m:t>E</m:t>
            </m:r>
            <m:ctrlPr>
              <w:rPr>
                <w:rFonts w:ascii="Cambria Math" w:hAnsi="Cambria Math" w:eastAsia="宋体"/>
                <w:i/>
                <w:sz w:val="28"/>
                <w:szCs w:val="32"/>
              </w:rPr>
            </m:ctrlPr>
          </m:e>
          <m:sub>
            <m:r>
              <m:rPr/>
              <w:rPr>
                <w:rFonts w:hint="eastAsia" w:ascii="Cambria Math" w:hAnsi="Cambria Math" w:eastAsia="宋体"/>
                <w:sz w:val="28"/>
                <w:szCs w:val="32"/>
              </w:rPr>
              <m:t>生产</m:t>
            </m:r>
            <m:ctrlPr>
              <w:rPr>
                <w:rFonts w:ascii="Cambria Math" w:hAnsi="Cambria Math" w:eastAsia="宋体"/>
                <w:i/>
                <w:sz w:val="28"/>
                <w:szCs w:val="32"/>
              </w:rPr>
            </m:ctrlPr>
          </m:sub>
        </m:sSub>
      </m:oMath>
      <w:r>
        <w:rPr>
          <w:rFonts w:ascii="宋体" w:hAnsi="宋体" w:eastAsia="宋体"/>
          <w:spacing w:val="-4"/>
          <w:sz w:val="28"/>
          <w:szCs w:val="32"/>
        </w:rPr>
        <w:t xml:space="preserve"> ——</w:t>
      </w:r>
      <w:r>
        <w:rPr>
          <w:rFonts w:hint="eastAsia" w:ascii="宋体" w:hAnsi="宋体" w:eastAsia="宋体"/>
          <w:spacing w:val="-4"/>
          <w:sz w:val="28"/>
          <w:szCs w:val="32"/>
        </w:rPr>
        <w:t>刹车盘盖板产品生产阶段的</w:t>
      </w:r>
      <w:r>
        <w:rPr>
          <w:rFonts w:hint="eastAsia" w:ascii="宋体" w:hAnsi="宋体" w:eastAsia="宋体"/>
          <w:sz w:val="28"/>
          <w:szCs w:val="32"/>
        </w:rPr>
        <w:t>温室气体排放量</w:t>
      </w:r>
      <w:r>
        <w:rPr>
          <w:rFonts w:hint="eastAsia" w:ascii="宋体" w:hAnsi="宋体" w:eastAsia="宋体"/>
          <w:spacing w:val="-4"/>
          <w:sz w:val="28"/>
          <w:szCs w:val="32"/>
        </w:rPr>
        <w:t>（</w:t>
      </w:r>
      <w:r>
        <w:rPr>
          <w:rFonts w:ascii="宋体" w:hAnsi="宋体" w:eastAsia="宋体"/>
          <w:spacing w:val="-4"/>
          <w:sz w:val="28"/>
          <w:szCs w:val="32"/>
        </w:rPr>
        <w:t>kgCO</w:t>
      </w:r>
      <w:r>
        <w:rPr>
          <w:rFonts w:ascii="宋体" w:hAnsi="宋体" w:eastAsia="宋体"/>
          <w:spacing w:val="-4"/>
          <w:sz w:val="28"/>
          <w:szCs w:val="32"/>
          <w:vertAlign w:val="subscript"/>
        </w:rPr>
        <w:t>2</w:t>
      </w:r>
      <w:r>
        <w:rPr>
          <w:rFonts w:ascii="宋体" w:hAnsi="宋体" w:eastAsia="宋体"/>
          <w:spacing w:val="-4"/>
          <w:sz w:val="28"/>
          <w:szCs w:val="32"/>
        </w:rPr>
        <w:t>e</w:t>
      </w:r>
      <w:r>
        <w:rPr>
          <w:rFonts w:hint="eastAsia" w:ascii="宋体" w:hAnsi="宋体" w:eastAsia="宋体"/>
          <w:spacing w:val="-4"/>
          <w:sz w:val="28"/>
          <w:szCs w:val="32"/>
        </w:rPr>
        <w:t>）；</w:t>
      </w:r>
    </w:p>
    <w:p w14:paraId="190E920E">
      <w:pPr>
        <w:spacing w:line="360" w:lineRule="auto"/>
        <w:ind w:firstLine="544" w:firstLineChars="200"/>
        <w:rPr>
          <w:rFonts w:ascii="宋体" w:hAnsi="宋体" w:eastAsia="宋体"/>
          <w:spacing w:val="-4"/>
          <w:sz w:val="28"/>
          <w:szCs w:val="32"/>
        </w:rPr>
      </w:pPr>
      <w:r>
        <w:rPr>
          <w:rFonts w:ascii="宋体" w:hAnsi="宋体" w:eastAsia="宋体"/>
          <w:spacing w:val="-4"/>
          <w:sz w:val="28"/>
          <w:szCs w:val="32"/>
        </w:rPr>
        <w:t>Q ——</w:t>
      </w:r>
      <w:r>
        <w:rPr>
          <w:rFonts w:hint="eastAsia" w:ascii="宋体" w:hAnsi="宋体" w:eastAsia="宋体"/>
          <w:spacing w:val="-4"/>
          <w:sz w:val="28"/>
          <w:szCs w:val="32"/>
        </w:rPr>
        <w:t>刹车盘盖板产品的产量（kg）。</w:t>
      </w:r>
    </w:p>
    <w:p w14:paraId="5F05F4C2">
      <w:pPr>
        <w:pStyle w:val="53"/>
        <w:spacing w:line="360" w:lineRule="auto"/>
        <w:rPr>
          <w:rFonts w:hAnsi="宋体"/>
          <w:sz w:val="28"/>
          <w:szCs w:val="24"/>
        </w:rPr>
      </w:pPr>
      <w:r>
        <w:rPr>
          <w:rFonts w:hint="eastAsia" w:hAnsi="宋体"/>
          <w:sz w:val="28"/>
          <w:szCs w:val="24"/>
        </w:rPr>
        <w:t>原材料获取阶段的碳足迹计算见公式（2）：</w:t>
      </w:r>
    </w:p>
    <w:p w14:paraId="028B8FDF">
      <w:pPr>
        <w:tabs>
          <w:tab w:val="center" w:pos="4678"/>
          <w:tab w:val="right" w:leader="middleDot" w:pos="9356"/>
        </w:tabs>
        <w:spacing w:line="360" w:lineRule="auto"/>
        <w:rPr>
          <w:rFonts w:hint="eastAsia" w:ascii="宋体" w:hAnsi="宋体" w:eastAsia="宋体"/>
          <w:sz w:val="28"/>
          <w:szCs w:val="32"/>
        </w:rPr>
      </w:pPr>
      <w:r>
        <w:rPr>
          <w:rFonts w:hint="eastAsia" w:ascii="宋体" w:hAnsi="宋体" w:eastAsia="宋体"/>
          <w:sz w:val="28"/>
          <w:szCs w:val="32"/>
        </w:rPr>
        <w:tab/>
      </w:r>
      <m:oMath>
        <m:sSub>
          <m:sSubPr>
            <m:ctrlPr>
              <w:rPr>
                <w:rFonts w:ascii="Cambria Math" w:hAnsi="Cambria Math" w:eastAsia="宋体"/>
                <w:i/>
                <w:sz w:val="28"/>
                <w:szCs w:val="32"/>
              </w:rPr>
            </m:ctrlPr>
          </m:sSubPr>
          <m:e>
            <m:r>
              <m:rPr/>
              <w:rPr>
                <w:rFonts w:ascii="Cambria Math" w:hAnsi="Cambria Math" w:eastAsia="宋体"/>
                <w:sz w:val="28"/>
                <w:szCs w:val="32"/>
              </w:rPr>
              <m:t>CFP</m:t>
            </m:r>
            <m:ctrlPr>
              <w:rPr>
                <w:rFonts w:ascii="Cambria Math" w:hAnsi="Cambria Math" w:eastAsia="宋体"/>
                <w:i/>
                <w:sz w:val="28"/>
                <w:szCs w:val="32"/>
              </w:rPr>
            </m:ctrlPr>
          </m:e>
          <m:sub>
            <m:r>
              <m:rPr/>
              <w:rPr>
                <w:rFonts w:hint="eastAsia" w:ascii="Cambria Math" w:hAnsi="Cambria Math" w:eastAsia="宋体"/>
                <w:sz w:val="28"/>
                <w:szCs w:val="32"/>
              </w:rPr>
              <m:t>原材料</m:t>
            </m:r>
            <m:ctrlPr>
              <w:rPr>
                <w:rFonts w:ascii="Cambria Math" w:hAnsi="Cambria Math" w:eastAsia="宋体"/>
                <w:i/>
                <w:sz w:val="28"/>
                <w:szCs w:val="32"/>
              </w:rPr>
            </m:ctrlPr>
          </m:sub>
        </m:sSub>
        <m:r>
          <m:rPr/>
          <w:rPr>
            <w:rFonts w:ascii="Cambria Math" w:hAnsi="Cambria Math" w:eastAsia="宋体"/>
            <w:sz w:val="28"/>
            <w:szCs w:val="32"/>
          </w:rPr>
          <m:t>=</m:t>
        </m:r>
        <m:f>
          <m:fPr>
            <m:ctrlPr>
              <w:rPr>
                <w:rFonts w:ascii="Cambria Math" w:hAnsi="Cambria Math" w:eastAsia="宋体"/>
                <w:i/>
                <w:sz w:val="28"/>
                <w:szCs w:val="32"/>
              </w:rPr>
            </m:ctrlPr>
          </m:fPr>
          <m:num>
            <m:sSub>
              <m:sSubPr>
                <m:ctrlPr>
                  <w:rPr>
                    <w:rFonts w:ascii="Cambria Math" w:hAnsi="Cambria Math" w:eastAsia="宋体"/>
                    <w:i/>
                    <w:sz w:val="28"/>
                    <w:szCs w:val="32"/>
                  </w:rPr>
                </m:ctrlPr>
              </m:sSubPr>
              <m:e>
                <m:r>
                  <m:rPr/>
                  <w:rPr>
                    <w:rFonts w:ascii="Cambria Math" w:hAnsi="Cambria Math" w:eastAsia="宋体"/>
                    <w:sz w:val="28"/>
                    <w:szCs w:val="32"/>
                  </w:rPr>
                  <m:t>E</m:t>
                </m:r>
                <m:ctrlPr>
                  <w:rPr>
                    <w:rFonts w:ascii="Cambria Math" w:hAnsi="Cambria Math" w:eastAsia="宋体"/>
                    <w:i/>
                    <w:sz w:val="28"/>
                    <w:szCs w:val="32"/>
                  </w:rPr>
                </m:ctrlPr>
              </m:e>
              <m:sub>
                <m:r>
                  <m:rPr/>
                  <w:rPr>
                    <w:rFonts w:hint="eastAsia" w:ascii="Cambria Math" w:hAnsi="Cambria Math" w:eastAsia="宋体"/>
                    <w:sz w:val="28"/>
                    <w:szCs w:val="32"/>
                  </w:rPr>
                  <m:t>金属矿产开采</m:t>
                </m:r>
                <m:ctrlPr>
                  <w:rPr>
                    <w:rFonts w:ascii="Cambria Math" w:hAnsi="Cambria Math" w:eastAsia="宋体"/>
                    <w:i/>
                    <w:sz w:val="28"/>
                    <w:szCs w:val="32"/>
                  </w:rPr>
                </m:ctrlPr>
              </m:sub>
            </m:sSub>
            <m:r>
              <m:rPr/>
              <w:rPr>
                <w:rFonts w:ascii="Cambria Math" w:hAnsi="Cambria Math" w:eastAsia="宋体"/>
                <w:sz w:val="28"/>
                <w:szCs w:val="32"/>
              </w:rPr>
              <m:t>+</m:t>
            </m:r>
            <m:sSub>
              <m:sSubPr>
                <m:ctrlPr>
                  <w:rPr>
                    <w:rFonts w:ascii="Cambria Math" w:hAnsi="Cambria Math" w:eastAsia="宋体"/>
                    <w:i/>
                    <w:sz w:val="28"/>
                    <w:szCs w:val="32"/>
                  </w:rPr>
                </m:ctrlPr>
              </m:sSubPr>
              <m:e>
                <m:r>
                  <m:rPr/>
                  <w:rPr>
                    <w:rFonts w:ascii="Cambria Math" w:hAnsi="Cambria Math" w:eastAsia="宋体"/>
                    <w:sz w:val="28"/>
                    <w:szCs w:val="32"/>
                  </w:rPr>
                  <m:t>E</m:t>
                </m:r>
                <m:ctrlPr>
                  <w:rPr>
                    <w:rFonts w:ascii="Cambria Math" w:hAnsi="Cambria Math" w:eastAsia="宋体"/>
                    <w:i/>
                    <w:sz w:val="28"/>
                    <w:szCs w:val="32"/>
                  </w:rPr>
                </m:ctrlPr>
              </m:e>
              <m:sub>
                <m:r>
                  <m:rPr/>
                  <w:rPr>
                    <w:rFonts w:hint="eastAsia" w:ascii="Cambria Math" w:hAnsi="Cambria Math" w:eastAsia="宋体"/>
                    <w:sz w:val="28"/>
                    <w:szCs w:val="32"/>
                  </w:rPr>
                  <m:t>金属材料生产</m:t>
                </m:r>
                <m:ctrlPr>
                  <w:rPr>
                    <w:rFonts w:ascii="Cambria Math" w:hAnsi="Cambria Math" w:eastAsia="宋体"/>
                    <w:i/>
                    <w:sz w:val="28"/>
                    <w:szCs w:val="32"/>
                  </w:rPr>
                </m:ctrlPr>
              </m:sub>
            </m:sSub>
            <m:r>
              <m:rPr/>
              <w:rPr>
                <w:rFonts w:ascii="Cambria Math" w:hAnsi="Cambria Math" w:eastAsia="宋体"/>
                <w:sz w:val="28"/>
                <w:szCs w:val="32"/>
              </w:rPr>
              <m:t>+</m:t>
            </m:r>
            <m:sSub>
              <m:sSubPr>
                <m:ctrlPr>
                  <w:rPr>
                    <w:rFonts w:ascii="Cambria Math" w:hAnsi="Cambria Math" w:eastAsia="宋体"/>
                    <w:i/>
                    <w:sz w:val="28"/>
                    <w:szCs w:val="32"/>
                  </w:rPr>
                </m:ctrlPr>
              </m:sSubPr>
              <m:e>
                <m:r>
                  <m:rPr/>
                  <w:rPr>
                    <w:rFonts w:ascii="Cambria Math" w:hAnsi="Cambria Math" w:eastAsia="宋体"/>
                    <w:sz w:val="28"/>
                    <w:szCs w:val="32"/>
                  </w:rPr>
                  <m:t>E</m:t>
                </m:r>
                <m:ctrlPr>
                  <w:rPr>
                    <w:rFonts w:ascii="Cambria Math" w:hAnsi="Cambria Math" w:eastAsia="宋体"/>
                    <w:i/>
                    <w:sz w:val="28"/>
                    <w:szCs w:val="32"/>
                  </w:rPr>
                </m:ctrlPr>
              </m:e>
              <m:sub>
                <m:r>
                  <m:rPr/>
                  <w:rPr>
                    <w:rFonts w:hint="eastAsia" w:ascii="Cambria Math" w:hAnsi="Cambria Math" w:eastAsia="宋体"/>
                    <w:sz w:val="28"/>
                    <w:szCs w:val="32"/>
                  </w:rPr>
                  <m:t>化学材料生产</m:t>
                </m:r>
                <m:ctrlPr>
                  <w:rPr>
                    <w:rFonts w:ascii="Cambria Math" w:hAnsi="Cambria Math" w:eastAsia="宋体"/>
                    <w:i/>
                    <w:sz w:val="28"/>
                    <w:szCs w:val="32"/>
                  </w:rPr>
                </m:ctrlPr>
              </m:sub>
            </m:sSub>
            <m:r>
              <m:rPr/>
              <w:rPr>
                <w:rFonts w:ascii="Cambria Math" w:hAnsi="Cambria Math" w:eastAsia="宋体"/>
                <w:sz w:val="28"/>
                <w:szCs w:val="32"/>
              </w:rPr>
              <m:t>+</m:t>
            </m:r>
            <m:sSub>
              <m:sSubPr>
                <m:ctrlPr>
                  <w:rPr>
                    <w:rFonts w:ascii="Cambria Math" w:hAnsi="Cambria Math" w:eastAsia="宋体"/>
                    <w:i/>
                    <w:sz w:val="28"/>
                    <w:szCs w:val="32"/>
                  </w:rPr>
                </m:ctrlPr>
              </m:sSubPr>
              <m:e>
                <m:r>
                  <m:rPr/>
                  <w:rPr>
                    <w:rFonts w:ascii="Cambria Math" w:hAnsi="Cambria Math" w:eastAsia="宋体"/>
                    <w:sz w:val="28"/>
                    <w:szCs w:val="32"/>
                  </w:rPr>
                  <m:t>E</m:t>
                </m:r>
                <m:ctrlPr>
                  <w:rPr>
                    <w:rFonts w:ascii="Cambria Math" w:hAnsi="Cambria Math" w:eastAsia="宋体"/>
                    <w:i/>
                    <w:sz w:val="28"/>
                    <w:szCs w:val="32"/>
                  </w:rPr>
                </m:ctrlPr>
              </m:e>
              <m:sub>
                <m:r>
                  <m:rPr/>
                  <w:rPr>
                    <w:rFonts w:hint="eastAsia" w:ascii="Cambria Math" w:hAnsi="Cambria Math" w:eastAsia="宋体"/>
                    <w:sz w:val="28"/>
                    <w:szCs w:val="32"/>
                  </w:rPr>
                  <m:t>包装材料生产</m:t>
                </m:r>
                <m:ctrlPr>
                  <w:rPr>
                    <w:rFonts w:ascii="Cambria Math" w:hAnsi="Cambria Math" w:eastAsia="宋体"/>
                    <w:i/>
                    <w:sz w:val="28"/>
                    <w:szCs w:val="32"/>
                  </w:rPr>
                </m:ctrlPr>
              </m:sub>
            </m:sSub>
            <m:sSub>
              <m:sSubPr>
                <m:ctrlPr>
                  <w:rPr>
                    <w:rFonts w:ascii="Cambria Math" w:hAnsi="Cambria Math" w:eastAsia="宋体"/>
                    <w:i/>
                    <w:sz w:val="28"/>
                    <w:szCs w:val="32"/>
                  </w:rPr>
                </m:ctrlPr>
              </m:sSubPr>
              <m:e>
                <m:r>
                  <m:rPr/>
                  <w:rPr>
                    <w:rFonts w:ascii="Cambria Math" w:hAnsi="Cambria Math" w:eastAsia="宋体"/>
                    <w:sz w:val="28"/>
                    <w:szCs w:val="32"/>
                  </w:rPr>
                  <m:t>+</m:t>
                </m:r>
                <m:sSub>
                  <m:sSubPr>
                    <m:ctrlPr>
                      <w:rPr>
                        <w:rFonts w:ascii="Cambria Math" w:hAnsi="Cambria Math" w:eastAsia="宋体"/>
                        <w:i/>
                        <w:sz w:val="28"/>
                        <w:szCs w:val="32"/>
                      </w:rPr>
                    </m:ctrlPr>
                  </m:sSubPr>
                  <m:e>
                    <m:r>
                      <m:rPr/>
                      <w:rPr>
                        <w:rFonts w:ascii="Cambria Math" w:hAnsi="Cambria Math" w:eastAsia="宋体"/>
                        <w:sz w:val="28"/>
                        <w:szCs w:val="32"/>
                      </w:rPr>
                      <m:t>E</m:t>
                    </m:r>
                    <m:ctrlPr>
                      <w:rPr>
                        <w:rFonts w:ascii="Cambria Math" w:hAnsi="Cambria Math" w:eastAsia="宋体"/>
                        <w:i/>
                        <w:sz w:val="28"/>
                        <w:szCs w:val="32"/>
                      </w:rPr>
                    </m:ctrlPr>
                  </m:e>
                  <m:sub>
                    <m:r>
                      <m:rPr/>
                      <w:rPr>
                        <w:rFonts w:hint="eastAsia" w:ascii="Cambria Math" w:hAnsi="Cambria Math" w:eastAsia="宋体"/>
                        <w:sz w:val="28"/>
                        <w:szCs w:val="32"/>
                      </w:rPr>
                      <m:t>其他辅料生产</m:t>
                    </m:r>
                    <m:ctrlPr>
                      <w:rPr>
                        <w:rFonts w:ascii="Cambria Math" w:hAnsi="Cambria Math" w:eastAsia="宋体"/>
                        <w:i/>
                        <w:sz w:val="28"/>
                        <w:szCs w:val="32"/>
                      </w:rPr>
                    </m:ctrlPr>
                  </m:sub>
                </m:sSub>
                <m:ctrlPr>
                  <w:rPr>
                    <w:rFonts w:ascii="Cambria Math" w:hAnsi="Cambria Math" w:eastAsia="宋体"/>
                    <w:i/>
                    <w:sz w:val="28"/>
                    <w:szCs w:val="32"/>
                  </w:rPr>
                </m:ctrlPr>
              </m:e>
              <m:sub>
                <m:ctrlPr>
                  <w:rPr>
                    <w:rFonts w:ascii="Cambria Math" w:hAnsi="Cambria Math" w:eastAsia="宋体"/>
                    <w:i/>
                    <w:sz w:val="28"/>
                    <w:szCs w:val="32"/>
                  </w:rPr>
                </m:ctrlPr>
              </m:sub>
            </m:sSub>
            <m:ctrlPr>
              <w:rPr>
                <w:rFonts w:ascii="Cambria Math" w:hAnsi="Cambria Math" w:eastAsia="宋体"/>
                <w:i/>
                <w:sz w:val="28"/>
                <w:szCs w:val="32"/>
              </w:rPr>
            </m:ctrlPr>
          </m:num>
          <m:den>
            <m:r>
              <m:rPr/>
              <w:rPr>
                <w:rFonts w:ascii="Cambria Math" w:hAnsi="Cambria Math" w:eastAsia="宋体"/>
                <w:sz w:val="28"/>
                <w:szCs w:val="32"/>
              </w:rPr>
              <m:t>Q</m:t>
            </m:r>
            <m:ctrlPr>
              <w:rPr>
                <w:rFonts w:ascii="Cambria Math" w:hAnsi="Cambria Math" w:eastAsia="宋体"/>
                <w:i/>
                <w:sz w:val="28"/>
                <w:szCs w:val="32"/>
              </w:rPr>
            </m:ctrlPr>
          </m:den>
        </m:f>
      </m:oMath>
      <w:r>
        <w:rPr>
          <w:rFonts w:hint="eastAsia" w:ascii="宋体" w:hAnsi="宋体" w:eastAsia="宋体"/>
          <w:sz w:val="28"/>
          <w:szCs w:val="32"/>
        </w:rPr>
        <w:tab/>
      </w:r>
      <w:r>
        <w:rPr>
          <w:rFonts w:hint="eastAsia" w:ascii="宋体" w:hAnsi="宋体" w:eastAsia="宋体"/>
          <w:sz w:val="28"/>
          <w:szCs w:val="32"/>
        </w:rPr>
        <w:t>(</w:t>
      </w:r>
      <w:r>
        <w:rPr>
          <w:rFonts w:ascii="宋体" w:hAnsi="宋体" w:eastAsia="宋体"/>
          <w:sz w:val="28"/>
          <w:szCs w:val="32"/>
        </w:rPr>
        <w:t>2</w:t>
      </w:r>
      <w:r>
        <w:rPr>
          <w:rFonts w:hint="eastAsia" w:ascii="宋体" w:hAnsi="宋体" w:eastAsia="宋体"/>
          <w:sz w:val="28"/>
          <w:szCs w:val="32"/>
        </w:rPr>
        <w:t>)</w:t>
      </w:r>
    </w:p>
    <w:p w14:paraId="3F1B05E0">
      <w:pPr>
        <w:spacing w:line="360" w:lineRule="auto"/>
        <w:ind w:firstLine="544" w:firstLineChars="200"/>
        <w:rPr>
          <w:rFonts w:hint="eastAsia" w:ascii="宋体" w:hAnsi="宋体" w:eastAsia="宋体" w:cs="宋体"/>
          <w:spacing w:val="-4"/>
          <w:kern w:val="0"/>
          <w:sz w:val="28"/>
          <w:szCs w:val="32"/>
        </w:rPr>
      </w:pPr>
      <w:r>
        <w:rPr>
          <w:rFonts w:hint="eastAsia" w:ascii="宋体" w:hAnsi="宋体" w:eastAsia="宋体" w:cs="宋体"/>
          <w:spacing w:val="-4"/>
          <w:sz w:val="28"/>
          <w:szCs w:val="32"/>
        </w:rPr>
        <w:t>式中：</w:t>
      </w:r>
    </w:p>
    <w:p w14:paraId="0ABD2E22">
      <w:pPr>
        <w:pStyle w:val="19"/>
        <w:spacing w:line="360" w:lineRule="auto"/>
        <w:ind w:firstLine="560"/>
        <w:rPr>
          <w:rFonts w:hint="eastAsia" w:hAnsi="宋体"/>
          <w:sz w:val="28"/>
          <w:szCs w:val="24"/>
        </w:rPr>
      </w:pPr>
      <m:oMath>
        <m:sSub>
          <m:sSubPr>
            <m:ctrlPr>
              <w:rPr>
                <w:rFonts w:ascii="Cambria Math" w:hAnsi="Cambria Math"/>
                <w:i/>
                <w:sz w:val="28"/>
                <w:szCs w:val="24"/>
              </w:rPr>
            </m:ctrlPr>
          </m:sSubPr>
          <m:e>
            <m:r>
              <m:rPr/>
              <w:rPr>
                <w:rFonts w:hint="eastAsia" w:ascii="Cambria Math" w:hAnsi="Cambria Math"/>
                <w:sz w:val="28"/>
                <w:szCs w:val="24"/>
              </w:rPr>
              <m:t>E</m:t>
            </m:r>
            <m:ctrlPr>
              <w:rPr>
                <w:rFonts w:ascii="Cambria Math" w:hAnsi="Cambria Math"/>
                <w:i/>
                <w:sz w:val="28"/>
                <w:szCs w:val="24"/>
              </w:rPr>
            </m:ctrlPr>
          </m:e>
          <m:sub>
            <m:r>
              <m:rPr/>
              <w:rPr>
                <w:rFonts w:hint="eastAsia" w:ascii="Cambria Math" w:hAnsi="Cambria Math"/>
                <w:sz w:val="28"/>
                <w:szCs w:val="24"/>
              </w:rPr>
              <m:t>金属矿产开采</m:t>
            </m:r>
            <m:ctrlPr>
              <w:rPr>
                <w:rFonts w:ascii="Cambria Math" w:hAnsi="Cambria Math"/>
                <w:i/>
                <w:sz w:val="28"/>
                <w:szCs w:val="24"/>
              </w:rPr>
            </m:ctrlPr>
          </m:sub>
        </m:sSub>
      </m:oMath>
      <w:r>
        <w:rPr>
          <w:rFonts w:hAnsi="宋体"/>
          <w:spacing w:val="-4"/>
          <w:sz w:val="28"/>
          <w:szCs w:val="24"/>
        </w:rPr>
        <w:t>——</w:t>
      </w:r>
      <w:r>
        <w:rPr>
          <w:rFonts w:hint="eastAsia" w:hAnsi="宋体"/>
          <w:spacing w:val="-4"/>
          <w:sz w:val="28"/>
          <w:szCs w:val="24"/>
        </w:rPr>
        <w:t>金属矿产开采</w:t>
      </w:r>
      <w:r>
        <w:rPr>
          <w:rFonts w:hint="eastAsia" w:hAnsi="宋体"/>
          <w:sz w:val="28"/>
          <w:szCs w:val="24"/>
        </w:rPr>
        <w:t>产生的温室气体排放量（kgCO</w:t>
      </w:r>
      <w:r>
        <w:rPr>
          <w:rFonts w:hint="eastAsia" w:hAnsi="宋体"/>
          <w:sz w:val="28"/>
          <w:szCs w:val="24"/>
          <w:vertAlign w:val="subscript"/>
        </w:rPr>
        <w:t>2</w:t>
      </w:r>
      <w:r>
        <w:rPr>
          <w:rFonts w:hint="eastAsia" w:hAnsi="宋体"/>
          <w:sz w:val="28"/>
          <w:szCs w:val="24"/>
        </w:rPr>
        <w:t>e）；</w:t>
      </w:r>
    </w:p>
    <w:p w14:paraId="169F8AF9">
      <w:pPr>
        <w:pStyle w:val="19"/>
        <w:spacing w:line="360" w:lineRule="auto"/>
        <w:ind w:firstLine="560"/>
        <w:rPr>
          <w:rFonts w:hint="eastAsia" w:hAnsi="宋体"/>
          <w:sz w:val="28"/>
          <w:szCs w:val="24"/>
        </w:rPr>
      </w:pPr>
      <m:oMath>
        <m:sSub>
          <m:sSubPr>
            <m:ctrlPr>
              <w:rPr>
                <w:rFonts w:ascii="Cambria Math" w:hAnsi="Cambria Math"/>
                <w:i/>
                <w:sz w:val="28"/>
                <w:szCs w:val="24"/>
              </w:rPr>
            </m:ctrlPr>
          </m:sSubPr>
          <m:e>
            <m:r>
              <m:rPr/>
              <w:rPr>
                <w:rFonts w:hint="eastAsia" w:ascii="Cambria Math" w:hAnsi="Cambria Math"/>
                <w:sz w:val="28"/>
                <w:szCs w:val="24"/>
              </w:rPr>
              <m:t>E</m:t>
            </m:r>
            <m:ctrlPr>
              <w:rPr>
                <w:rFonts w:ascii="Cambria Math" w:hAnsi="Cambria Math"/>
                <w:i/>
                <w:sz w:val="28"/>
                <w:szCs w:val="24"/>
              </w:rPr>
            </m:ctrlPr>
          </m:e>
          <m:sub>
            <m:r>
              <m:rPr/>
              <w:rPr>
                <w:rFonts w:hint="eastAsia" w:ascii="Cambria Math" w:hAnsi="Cambria Math"/>
                <w:sz w:val="28"/>
                <w:szCs w:val="24"/>
              </w:rPr>
              <m:t>金属材料生产</m:t>
            </m:r>
            <m:ctrlPr>
              <w:rPr>
                <w:rFonts w:ascii="Cambria Math" w:hAnsi="Cambria Math"/>
                <w:i/>
                <w:sz w:val="28"/>
                <w:szCs w:val="24"/>
              </w:rPr>
            </m:ctrlPr>
          </m:sub>
        </m:sSub>
      </m:oMath>
      <w:r>
        <w:rPr>
          <w:rFonts w:hAnsi="宋体"/>
          <w:spacing w:val="-4"/>
          <w:sz w:val="28"/>
          <w:szCs w:val="24"/>
        </w:rPr>
        <w:t>——</w:t>
      </w:r>
      <w:r>
        <w:rPr>
          <w:rFonts w:hint="eastAsia" w:hAnsi="宋体"/>
          <w:spacing w:val="-4"/>
          <w:sz w:val="28"/>
          <w:szCs w:val="24"/>
        </w:rPr>
        <w:t>金属材料</w:t>
      </w:r>
      <w:r>
        <w:rPr>
          <w:rFonts w:hint="eastAsia" w:hAnsi="宋体"/>
          <w:sz w:val="28"/>
          <w:szCs w:val="24"/>
        </w:rPr>
        <w:t>生产阶段的温室气体排放量（kgCO</w:t>
      </w:r>
      <w:r>
        <w:rPr>
          <w:rFonts w:hint="eastAsia" w:hAnsi="宋体"/>
          <w:sz w:val="28"/>
          <w:szCs w:val="24"/>
          <w:vertAlign w:val="subscript"/>
        </w:rPr>
        <w:t>2</w:t>
      </w:r>
      <w:r>
        <w:rPr>
          <w:rFonts w:hint="eastAsia" w:hAnsi="宋体"/>
          <w:sz w:val="28"/>
          <w:szCs w:val="24"/>
        </w:rPr>
        <w:t>e）；</w:t>
      </w:r>
    </w:p>
    <w:p w14:paraId="01A323EA">
      <w:pPr>
        <w:pStyle w:val="19"/>
        <w:spacing w:line="360" w:lineRule="auto"/>
        <w:ind w:firstLine="560"/>
        <w:rPr>
          <w:rFonts w:hint="eastAsia" w:hAnsi="宋体"/>
          <w:sz w:val="28"/>
          <w:szCs w:val="24"/>
        </w:rPr>
      </w:pPr>
      <m:oMath>
        <m:sSub>
          <m:sSubPr>
            <m:ctrlPr>
              <w:rPr>
                <w:rFonts w:ascii="Cambria Math" w:hAnsi="Cambria Math"/>
                <w:i/>
                <w:sz w:val="28"/>
                <w:szCs w:val="24"/>
              </w:rPr>
            </m:ctrlPr>
          </m:sSubPr>
          <m:e>
            <m:r>
              <m:rPr/>
              <w:rPr>
                <w:rFonts w:hint="eastAsia" w:ascii="Cambria Math" w:hAnsi="Cambria Math"/>
                <w:sz w:val="28"/>
                <w:szCs w:val="24"/>
              </w:rPr>
              <m:t>E</m:t>
            </m:r>
            <m:ctrlPr>
              <w:rPr>
                <w:rFonts w:ascii="Cambria Math" w:hAnsi="Cambria Math"/>
                <w:i/>
                <w:sz w:val="28"/>
                <w:szCs w:val="24"/>
              </w:rPr>
            </m:ctrlPr>
          </m:e>
          <m:sub>
            <m:r>
              <m:rPr/>
              <w:rPr>
                <w:rFonts w:hint="eastAsia" w:ascii="Cambria Math" w:hAnsi="Cambria Math"/>
                <w:sz w:val="28"/>
                <w:szCs w:val="24"/>
              </w:rPr>
              <m:t>化学材料生产</m:t>
            </m:r>
            <m:ctrlPr>
              <w:rPr>
                <w:rFonts w:ascii="Cambria Math" w:hAnsi="Cambria Math"/>
                <w:i/>
                <w:sz w:val="28"/>
                <w:szCs w:val="24"/>
              </w:rPr>
            </m:ctrlPr>
          </m:sub>
        </m:sSub>
      </m:oMath>
      <w:r>
        <w:rPr>
          <w:rFonts w:hAnsi="宋体"/>
          <w:spacing w:val="-4"/>
          <w:sz w:val="28"/>
          <w:szCs w:val="24"/>
        </w:rPr>
        <w:t>——</w:t>
      </w:r>
      <w:r>
        <w:rPr>
          <w:rFonts w:hint="eastAsia" w:hAnsi="宋体"/>
          <w:spacing w:val="-4"/>
          <w:sz w:val="28"/>
          <w:szCs w:val="24"/>
        </w:rPr>
        <w:t>化学材料</w:t>
      </w:r>
      <w:r>
        <w:rPr>
          <w:rFonts w:hint="eastAsia" w:hAnsi="宋体"/>
          <w:sz w:val="28"/>
          <w:szCs w:val="24"/>
        </w:rPr>
        <w:t>生产阶段的温室气体排放量（kgCO</w:t>
      </w:r>
      <w:r>
        <w:rPr>
          <w:rFonts w:hint="eastAsia" w:hAnsi="宋体"/>
          <w:sz w:val="28"/>
          <w:szCs w:val="24"/>
          <w:vertAlign w:val="subscript"/>
        </w:rPr>
        <w:t>2</w:t>
      </w:r>
      <w:r>
        <w:rPr>
          <w:rFonts w:hint="eastAsia" w:hAnsi="宋体"/>
          <w:sz w:val="28"/>
          <w:szCs w:val="24"/>
        </w:rPr>
        <w:t>e）；</w:t>
      </w:r>
    </w:p>
    <w:p w14:paraId="6AA576FC">
      <w:pPr>
        <w:pStyle w:val="19"/>
        <w:spacing w:line="360" w:lineRule="auto"/>
        <w:ind w:firstLine="560"/>
        <w:rPr>
          <w:rFonts w:hint="eastAsia" w:hAnsi="宋体"/>
          <w:sz w:val="28"/>
          <w:szCs w:val="24"/>
        </w:rPr>
      </w:pPr>
      <m:oMath>
        <m:sSub>
          <m:sSubPr>
            <m:ctrlPr>
              <w:rPr>
                <w:rFonts w:ascii="Cambria Math" w:hAnsi="Cambria Math"/>
                <w:i/>
                <w:sz w:val="28"/>
                <w:szCs w:val="24"/>
              </w:rPr>
            </m:ctrlPr>
          </m:sSubPr>
          <m:e>
            <m:r>
              <m:rPr/>
              <w:rPr>
                <w:rFonts w:hint="eastAsia" w:ascii="Cambria Math" w:hAnsi="Cambria Math"/>
                <w:sz w:val="28"/>
                <w:szCs w:val="24"/>
              </w:rPr>
              <m:t>E</m:t>
            </m:r>
            <m:ctrlPr>
              <w:rPr>
                <w:rFonts w:ascii="Cambria Math" w:hAnsi="Cambria Math"/>
                <w:i/>
                <w:sz w:val="28"/>
                <w:szCs w:val="24"/>
              </w:rPr>
            </m:ctrlPr>
          </m:e>
          <m:sub>
            <m:r>
              <m:rPr/>
              <w:rPr>
                <w:rFonts w:hint="eastAsia" w:ascii="Cambria Math" w:hAnsi="Cambria Math"/>
                <w:sz w:val="28"/>
                <w:szCs w:val="24"/>
              </w:rPr>
              <m:t>包装材料生产</m:t>
            </m:r>
            <m:ctrlPr>
              <w:rPr>
                <w:rFonts w:ascii="Cambria Math" w:hAnsi="Cambria Math"/>
                <w:i/>
                <w:sz w:val="28"/>
                <w:szCs w:val="24"/>
              </w:rPr>
            </m:ctrlPr>
          </m:sub>
        </m:sSub>
      </m:oMath>
      <w:r>
        <w:rPr>
          <w:rFonts w:hAnsi="宋体"/>
          <w:spacing w:val="-4"/>
          <w:sz w:val="28"/>
          <w:szCs w:val="24"/>
        </w:rPr>
        <w:t>——</w:t>
      </w:r>
      <w:r>
        <w:rPr>
          <w:rFonts w:hint="eastAsia" w:hAnsi="宋体"/>
          <w:spacing w:val="-4"/>
          <w:sz w:val="28"/>
          <w:szCs w:val="24"/>
        </w:rPr>
        <w:t>包装材料</w:t>
      </w:r>
      <w:r>
        <w:rPr>
          <w:rFonts w:hint="eastAsia" w:hAnsi="宋体"/>
          <w:sz w:val="28"/>
          <w:szCs w:val="24"/>
        </w:rPr>
        <w:t>生产阶段的温室气体排放量（kgCO</w:t>
      </w:r>
      <w:r>
        <w:rPr>
          <w:rFonts w:hint="eastAsia" w:hAnsi="宋体"/>
          <w:sz w:val="28"/>
          <w:szCs w:val="24"/>
          <w:vertAlign w:val="subscript"/>
        </w:rPr>
        <w:t>2</w:t>
      </w:r>
      <w:r>
        <w:rPr>
          <w:rFonts w:hint="eastAsia" w:hAnsi="宋体"/>
          <w:sz w:val="28"/>
          <w:szCs w:val="24"/>
        </w:rPr>
        <w:t>e）；</w:t>
      </w:r>
    </w:p>
    <w:p w14:paraId="68D29D7A">
      <w:pPr>
        <w:pStyle w:val="19"/>
        <w:spacing w:line="360" w:lineRule="auto"/>
        <w:ind w:firstLine="560"/>
        <w:rPr>
          <w:rFonts w:hint="eastAsia" w:hAnsi="宋体"/>
          <w:sz w:val="28"/>
          <w:szCs w:val="24"/>
        </w:rPr>
      </w:pPr>
      <m:oMath>
        <m:sSub>
          <m:sSubPr>
            <m:ctrlPr>
              <w:rPr>
                <w:rFonts w:ascii="Cambria Math" w:hAnsi="Cambria Math"/>
                <w:i/>
                <w:sz w:val="28"/>
                <w:szCs w:val="24"/>
              </w:rPr>
            </m:ctrlPr>
          </m:sSubPr>
          <m:e>
            <m:r>
              <m:rPr/>
              <w:rPr>
                <w:rFonts w:hint="eastAsia" w:ascii="Cambria Math" w:hAnsi="Cambria Math"/>
                <w:sz w:val="28"/>
                <w:szCs w:val="24"/>
              </w:rPr>
              <m:t>E</m:t>
            </m:r>
            <m:ctrlPr>
              <w:rPr>
                <w:rFonts w:ascii="Cambria Math" w:hAnsi="Cambria Math"/>
                <w:i/>
                <w:sz w:val="28"/>
                <w:szCs w:val="24"/>
              </w:rPr>
            </m:ctrlPr>
          </m:e>
          <m:sub>
            <m:r>
              <m:rPr/>
              <w:rPr>
                <w:rFonts w:hint="eastAsia" w:ascii="Cambria Math" w:hAnsi="Cambria Math"/>
                <w:sz w:val="28"/>
                <w:szCs w:val="24"/>
              </w:rPr>
              <m:t>其他辅料生产</m:t>
            </m:r>
            <m:ctrlPr>
              <w:rPr>
                <w:rFonts w:ascii="Cambria Math" w:hAnsi="Cambria Math"/>
                <w:i/>
                <w:sz w:val="28"/>
                <w:szCs w:val="24"/>
              </w:rPr>
            </m:ctrlPr>
          </m:sub>
        </m:sSub>
      </m:oMath>
      <w:r>
        <w:rPr>
          <w:rFonts w:hAnsi="宋体"/>
          <w:spacing w:val="-4"/>
          <w:sz w:val="28"/>
          <w:szCs w:val="24"/>
        </w:rPr>
        <w:t>——</w:t>
      </w:r>
      <w:r>
        <w:rPr>
          <w:rFonts w:hint="eastAsia" w:hAnsi="宋体"/>
          <w:spacing w:val="-4"/>
          <w:sz w:val="28"/>
          <w:szCs w:val="24"/>
        </w:rPr>
        <w:t>其他辅料生产</w:t>
      </w:r>
      <w:r>
        <w:rPr>
          <w:rFonts w:hint="eastAsia" w:hAnsi="宋体"/>
          <w:sz w:val="28"/>
          <w:szCs w:val="24"/>
        </w:rPr>
        <w:t>阶段的温室气体排放量（kgCO</w:t>
      </w:r>
      <w:r>
        <w:rPr>
          <w:rFonts w:hint="eastAsia" w:hAnsi="宋体"/>
          <w:sz w:val="28"/>
          <w:szCs w:val="24"/>
          <w:vertAlign w:val="subscript"/>
        </w:rPr>
        <w:t>2</w:t>
      </w:r>
      <w:r>
        <w:rPr>
          <w:rFonts w:hint="eastAsia" w:hAnsi="宋体"/>
          <w:sz w:val="28"/>
          <w:szCs w:val="24"/>
        </w:rPr>
        <w:t>e）；</w:t>
      </w:r>
    </w:p>
    <w:p w14:paraId="72F04741">
      <w:pPr>
        <w:pStyle w:val="19"/>
        <w:spacing w:line="360" w:lineRule="auto"/>
        <w:ind w:firstLine="544"/>
        <w:rPr>
          <w:rFonts w:hint="eastAsia" w:hAnsi="宋体"/>
          <w:sz w:val="28"/>
          <w:szCs w:val="24"/>
        </w:rPr>
      </w:pPr>
      <w:r>
        <w:rPr>
          <w:rFonts w:hAnsi="宋体"/>
          <w:spacing w:val="-4"/>
          <w:sz w:val="28"/>
          <w:szCs w:val="24"/>
        </w:rPr>
        <w:t>Q ——</w:t>
      </w:r>
      <w:r>
        <w:rPr>
          <w:rFonts w:hint="eastAsia" w:hAnsi="宋体"/>
          <w:spacing w:val="-4"/>
          <w:sz w:val="28"/>
          <w:szCs w:val="24"/>
        </w:rPr>
        <w:t>刹车盘盖板产品的产量（kg）</w:t>
      </w:r>
      <w:r>
        <w:rPr>
          <w:rFonts w:hint="eastAsia" w:hAnsi="宋体"/>
          <w:sz w:val="28"/>
          <w:szCs w:val="24"/>
        </w:rPr>
        <w:t>。</w:t>
      </w:r>
    </w:p>
    <w:p w14:paraId="06EA8513">
      <w:pPr>
        <w:pStyle w:val="53"/>
        <w:spacing w:line="360" w:lineRule="auto"/>
        <w:rPr>
          <w:rFonts w:hAnsi="宋体"/>
          <w:sz w:val="28"/>
          <w:szCs w:val="24"/>
        </w:rPr>
      </w:pPr>
      <w:r>
        <w:rPr>
          <w:rFonts w:hint="eastAsia" w:hAnsi="宋体"/>
          <w:sz w:val="28"/>
          <w:szCs w:val="24"/>
        </w:rPr>
        <w:t>如果采用废金属材料作为原料生产金属产品，则原材料获取阶段的碳足迹计算见公式（</w:t>
      </w:r>
      <w:r>
        <w:rPr>
          <w:rFonts w:hAnsi="宋体"/>
          <w:sz w:val="28"/>
          <w:szCs w:val="24"/>
        </w:rPr>
        <w:t>3</w:t>
      </w:r>
      <w:r>
        <w:rPr>
          <w:rFonts w:hint="eastAsia" w:hAnsi="宋体"/>
          <w:sz w:val="28"/>
          <w:szCs w:val="24"/>
        </w:rPr>
        <w:t>）：</w:t>
      </w:r>
    </w:p>
    <w:p w14:paraId="6DFFD223">
      <w:pPr>
        <w:tabs>
          <w:tab w:val="center" w:pos="4678"/>
          <w:tab w:val="right" w:leader="middleDot" w:pos="9356"/>
        </w:tabs>
        <w:spacing w:line="360" w:lineRule="auto"/>
        <w:rPr>
          <w:rFonts w:hint="eastAsia" w:ascii="宋体" w:hAnsi="宋体" w:eastAsia="宋体"/>
          <w:sz w:val="28"/>
          <w:szCs w:val="32"/>
        </w:rPr>
      </w:pPr>
      <w:r>
        <w:rPr>
          <w:rFonts w:hint="eastAsia" w:ascii="宋体" w:hAnsi="宋体" w:eastAsia="宋体"/>
          <w:sz w:val="28"/>
          <w:szCs w:val="32"/>
        </w:rPr>
        <w:tab/>
      </w:r>
      <m:oMath>
        <m:sSub>
          <m:sSubPr>
            <m:ctrlPr>
              <w:rPr>
                <w:rFonts w:ascii="Cambria Math" w:hAnsi="Cambria Math" w:eastAsia="宋体"/>
                <w:i/>
                <w:sz w:val="28"/>
                <w:szCs w:val="32"/>
              </w:rPr>
            </m:ctrlPr>
          </m:sSubPr>
          <m:e>
            <m:r>
              <m:rPr/>
              <w:rPr>
                <w:rFonts w:ascii="Cambria Math" w:hAnsi="Cambria Math" w:eastAsia="宋体"/>
                <w:sz w:val="28"/>
                <w:szCs w:val="32"/>
              </w:rPr>
              <m:t>CFP</m:t>
            </m:r>
            <m:ctrlPr>
              <w:rPr>
                <w:rFonts w:ascii="Cambria Math" w:hAnsi="Cambria Math" w:eastAsia="宋体"/>
                <w:i/>
                <w:sz w:val="28"/>
                <w:szCs w:val="32"/>
              </w:rPr>
            </m:ctrlPr>
          </m:e>
          <m:sub>
            <m:r>
              <m:rPr/>
              <w:rPr>
                <w:rFonts w:hint="eastAsia" w:ascii="Cambria Math" w:hAnsi="Cambria Math" w:eastAsia="宋体"/>
                <w:sz w:val="28"/>
                <w:szCs w:val="32"/>
              </w:rPr>
              <m:t>原材料</m:t>
            </m:r>
            <m:ctrlPr>
              <w:rPr>
                <w:rFonts w:ascii="Cambria Math" w:hAnsi="Cambria Math" w:eastAsia="宋体"/>
                <w:i/>
                <w:sz w:val="28"/>
                <w:szCs w:val="32"/>
              </w:rPr>
            </m:ctrlPr>
          </m:sub>
        </m:sSub>
        <m:r>
          <m:rPr/>
          <w:rPr>
            <w:rFonts w:ascii="Cambria Math" w:hAnsi="Cambria Math" w:eastAsia="宋体"/>
            <w:sz w:val="28"/>
            <w:szCs w:val="32"/>
          </w:rPr>
          <m:t>=</m:t>
        </m:r>
        <m:f>
          <m:fPr>
            <m:ctrlPr>
              <w:rPr>
                <w:rFonts w:ascii="Cambria Math" w:hAnsi="Cambria Math" w:eastAsia="宋体"/>
                <w:i/>
                <w:sz w:val="28"/>
                <w:szCs w:val="32"/>
              </w:rPr>
            </m:ctrlPr>
          </m:fPr>
          <m:num>
            <m:sSub>
              <m:sSubPr>
                <m:ctrlPr>
                  <w:rPr>
                    <w:rFonts w:ascii="Cambria Math" w:hAnsi="Cambria Math" w:eastAsia="宋体"/>
                    <w:i/>
                    <w:sz w:val="28"/>
                    <w:szCs w:val="32"/>
                  </w:rPr>
                </m:ctrlPr>
              </m:sSubPr>
              <m:e>
                <m:r>
                  <m:rPr/>
                  <w:rPr>
                    <w:rFonts w:ascii="Cambria Math" w:hAnsi="Cambria Math" w:eastAsia="宋体"/>
                    <w:sz w:val="28"/>
                    <w:szCs w:val="32"/>
                  </w:rPr>
                  <m:t>E</m:t>
                </m:r>
                <m:ctrlPr>
                  <w:rPr>
                    <w:rFonts w:ascii="Cambria Math" w:hAnsi="Cambria Math" w:eastAsia="宋体"/>
                    <w:i/>
                    <w:sz w:val="28"/>
                    <w:szCs w:val="32"/>
                  </w:rPr>
                </m:ctrlPr>
              </m:e>
              <m:sub>
                <m:r>
                  <m:rPr/>
                  <w:rPr>
                    <w:rFonts w:hint="eastAsia" w:ascii="Cambria Math" w:hAnsi="Cambria Math" w:eastAsia="宋体"/>
                    <w:sz w:val="28"/>
                    <w:szCs w:val="32"/>
                  </w:rPr>
                  <m:t>回收及预处理</m:t>
                </m:r>
                <m:ctrlPr>
                  <w:rPr>
                    <w:rFonts w:ascii="Cambria Math" w:hAnsi="Cambria Math" w:eastAsia="宋体"/>
                    <w:i/>
                    <w:sz w:val="28"/>
                    <w:szCs w:val="32"/>
                  </w:rPr>
                </m:ctrlPr>
              </m:sub>
            </m:sSub>
            <m:r>
              <m:rPr/>
              <w:rPr>
                <w:rFonts w:ascii="Cambria Math" w:hAnsi="Cambria Math" w:eastAsia="宋体"/>
                <w:sz w:val="28"/>
                <w:szCs w:val="32"/>
              </w:rPr>
              <m:t>+</m:t>
            </m:r>
            <m:sSub>
              <m:sSubPr>
                <m:ctrlPr>
                  <w:rPr>
                    <w:rFonts w:ascii="Cambria Math" w:hAnsi="Cambria Math" w:eastAsia="宋体"/>
                    <w:i/>
                    <w:sz w:val="28"/>
                    <w:szCs w:val="32"/>
                  </w:rPr>
                </m:ctrlPr>
              </m:sSubPr>
              <m:e>
                <m:r>
                  <m:rPr/>
                  <w:rPr>
                    <w:rFonts w:ascii="Cambria Math" w:hAnsi="Cambria Math" w:eastAsia="宋体"/>
                    <w:sz w:val="28"/>
                    <w:szCs w:val="32"/>
                  </w:rPr>
                  <m:t>E</m:t>
                </m:r>
                <m:ctrlPr>
                  <w:rPr>
                    <w:rFonts w:ascii="Cambria Math" w:hAnsi="Cambria Math" w:eastAsia="宋体"/>
                    <w:i/>
                    <w:sz w:val="28"/>
                    <w:szCs w:val="32"/>
                  </w:rPr>
                </m:ctrlPr>
              </m:e>
              <m:sub>
                <m:r>
                  <m:rPr/>
                  <w:rPr>
                    <w:rFonts w:hint="eastAsia" w:ascii="Cambria Math" w:hAnsi="Cambria Math" w:eastAsia="宋体"/>
                    <w:sz w:val="28"/>
                    <w:szCs w:val="32"/>
                  </w:rPr>
                  <m:t>金属材料加工生产</m:t>
                </m:r>
                <m:ctrlPr>
                  <w:rPr>
                    <w:rFonts w:ascii="Cambria Math" w:hAnsi="Cambria Math" w:eastAsia="宋体"/>
                    <w:i/>
                    <w:sz w:val="28"/>
                    <w:szCs w:val="32"/>
                  </w:rPr>
                </m:ctrlPr>
              </m:sub>
            </m:sSub>
            <m:r>
              <m:rPr/>
              <w:rPr>
                <w:rFonts w:ascii="Cambria Math" w:hAnsi="Cambria Math" w:eastAsia="宋体"/>
                <w:sz w:val="28"/>
                <w:szCs w:val="32"/>
              </w:rPr>
              <m:t>+</m:t>
            </m:r>
            <m:sSub>
              <m:sSubPr>
                <m:ctrlPr>
                  <w:rPr>
                    <w:rFonts w:ascii="Cambria Math" w:hAnsi="Cambria Math" w:eastAsia="宋体"/>
                    <w:i/>
                    <w:sz w:val="28"/>
                    <w:szCs w:val="32"/>
                  </w:rPr>
                </m:ctrlPr>
              </m:sSubPr>
              <m:e>
                <m:r>
                  <m:rPr/>
                  <w:rPr>
                    <w:rFonts w:ascii="Cambria Math" w:hAnsi="Cambria Math" w:eastAsia="宋体"/>
                    <w:sz w:val="28"/>
                    <w:szCs w:val="32"/>
                  </w:rPr>
                  <m:t>E</m:t>
                </m:r>
                <m:ctrlPr>
                  <w:rPr>
                    <w:rFonts w:ascii="Cambria Math" w:hAnsi="Cambria Math" w:eastAsia="宋体"/>
                    <w:i/>
                    <w:sz w:val="28"/>
                    <w:szCs w:val="32"/>
                  </w:rPr>
                </m:ctrlPr>
              </m:e>
              <m:sub>
                <m:r>
                  <m:rPr/>
                  <w:rPr>
                    <w:rFonts w:hint="eastAsia" w:ascii="Cambria Math" w:hAnsi="Cambria Math" w:eastAsia="宋体"/>
                    <w:sz w:val="28"/>
                    <w:szCs w:val="32"/>
                  </w:rPr>
                  <m:t>化学材料生产</m:t>
                </m:r>
                <m:ctrlPr>
                  <w:rPr>
                    <w:rFonts w:ascii="Cambria Math" w:hAnsi="Cambria Math" w:eastAsia="宋体"/>
                    <w:i/>
                    <w:sz w:val="28"/>
                    <w:szCs w:val="32"/>
                  </w:rPr>
                </m:ctrlPr>
              </m:sub>
            </m:sSub>
            <m:r>
              <m:rPr/>
              <w:rPr>
                <w:rFonts w:ascii="Cambria Math" w:hAnsi="Cambria Math" w:eastAsia="宋体"/>
                <w:sz w:val="28"/>
                <w:szCs w:val="32"/>
              </w:rPr>
              <m:t>+</m:t>
            </m:r>
            <m:sSub>
              <m:sSubPr>
                <m:ctrlPr>
                  <w:rPr>
                    <w:rFonts w:ascii="Cambria Math" w:hAnsi="Cambria Math" w:eastAsia="宋体"/>
                    <w:i/>
                    <w:sz w:val="28"/>
                    <w:szCs w:val="32"/>
                  </w:rPr>
                </m:ctrlPr>
              </m:sSubPr>
              <m:e>
                <m:r>
                  <m:rPr/>
                  <w:rPr>
                    <w:rFonts w:ascii="Cambria Math" w:hAnsi="Cambria Math" w:eastAsia="宋体"/>
                    <w:sz w:val="28"/>
                    <w:szCs w:val="32"/>
                  </w:rPr>
                  <m:t>E</m:t>
                </m:r>
                <m:ctrlPr>
                  <w:rPr>
                    <w:rFonts w:ascii="Cambria Math" w:hAnsi="Cambria Math" w:eastAsia="宋体"/>
                    <w:i/>
                    <w:sz w:val="28"/>
                    <w:szCs w:val="32"/>
                  </w:rPr>
                </m:ctrlPr>
              </m:e>
              <m:sub>
                <m:r>
                  <m:rPr/>
                  <w:rPr>
                    <w:rFonts w:hint="eastAsia" w:ascii="Cambria Math" w:hAnsi="Cambria Math" w:eastAsia="宋体"/>
                    <w:sz w:val="28"/>
                    <w:szCs w:val="32"/>
                  </w:rPr>
                  <m:t>包装材料生产</m:t>
                </m:r>
                <m:ctrlPr>
                  <w:rPr>
                    <w:rFonts w:ascii="Cambria Math" w:hAnsi="Cambria Math" w:eastAsia="宋体"/>
                    <w:i/>
                    <w:sz w:val="28"/>
                    <w:szCs w:val="32"/>
                  </w:rPr>
                </m:ctrlPr>
              </m:sub>
            </m:sSub>
            <m:sSub>
              <m:sSubPr>
                <m:ctrlPr>
                  <w:rPr>
                    <w:rFonts w:ascii="Cambria Math" w:hAnsi="Cambria Math" w:eastAsia="宋体"/>
                    <w:i/>
                    <w:sz w:val="28"/>
                    <w:szCs w:val="32"/>
                  </w:rPr>
                </m:ctrlPr>
              </m:sSubPr>
              <m:e>
                <m:r>
                  <m:rPr/>
                  <w:rPr>
                    <w:rFonts w:ascii="Cambria Math" w:hAnsi="Cambria Math" w:eastAsia="宋体"/>
                    <w:sz w:val="28"/>
                    <w:szCs w:val="32"/>
                  </w:rPr>
                  <m:t>+</m:t>
                </m:r>
                <m:sSub>
                  <m:sSubPr>
                    <m:ctrlPr>
                      <w:rPr>
                        <w:rFonts w:ascii="Cambria Math" w:hAnsi="Cambria Math" w:eastAsia="宋体"/>
                        <w:i/>
                        <w:sz w:val="28"/>
                        <w:szCs w:val="32"/>
                      </w:rPr>
                    </m:ctrlPr>
                  </m:sSubPr>
                  <m:e>
                    <m:r>
                      <m:rPr/>
                      <w:rPr>
                        <w:rFonts w:ascii="Cambria Math" w:hAnsi="Cambria Math" w:eastAsia="宋体"/>
                        <w:sz w:val="28"/>
                        <w:szCs w:val="32"/>
                      </w:rPr>
                      <m:t>E</m:t>
                    </m:r>
                    <m:ctrlPr>
                      <w:rPr>
                        <w:rFonts w:ascii="Cambria Math" w:hAnsi="Cambria Math" w:eastAsia="宋体"/>
                        <w:i/>
                        <w:sz w:val="28"/>
                        <w:szCs w:val="32"/>
                      </w:rPr>
                    </m:ctrlPr>
                  </m:e>
                  <m:sub>
                    <m:r>
                      <m:rPr/>
                      <w:rPr>
                        <w:rFonts w:hint="eastAsia" w:ascii="Cambria Math" w:hAnsi="Cambria Math" w:eastAsia="宋体"/>
                        <w:sz w:val="28"/>
                        <w:szCs w:val="32"/>
                      </w:rPr>
                      <m:t>其他辅料生产</m:t>
                    </m:r>
                    <m:ctrlPr>
                      <w:rPr>
                        <w:rFonts w:ascii="Cambria Math" w:hAnsi="Cambria Math" w:eastAsia="宋体"/>
                        <w:i/>
                        <w:sz w:val="28"/>
                        <w:szCs w:val="32"/>
                      </w:rPr>
                    </m:ctrlPr>
                  </m:sub>
                </m:sSub>
                <m:ctrlPr>
                  <w:rPr>
                    <w:rFonts w:ascii="Cambria Math" w:hAnsi="Cambria Math" w:eastAsia="宋体"/>
                    <w:i/>
                    <w:sz w:val="28"/>
                    <w:szCs w:val="32"/>
                  </w:rPr>
                </m:ctrlPr>
              </m:e>
              <m:sub>
                <m:ctrlPr>
                  <w:rPr>
                    <w:rFonts w:ascii="Cambria Math" w:hAnsi="Cambria Math" w:eastAsia="宋体"/>
                    <w:i/>
                    <w:sz w:val="28"/>
                    <w:szCs w:val="32"/>
                  </w:rPr>
                </m:ctrlPr>
              </m:sub>
            </m:sSub>
            <m:ctrlPr>
              <w:rPr>
                <w:rFonts w:ascii="Cambria Math" w:hAnsi="Cambria Math" w:eastAsia="宋体"/>
                <w:i/>
                <w:sz w:val="28"/>
                <w:szCs w:val="32"/>
              </w:rPr>
            </m:ctrlPr>
          </m:num>
          <m:den>
            <m:r>
              <m:rPr/>
              <w:rPr>
                <w:rFonts w:ascii="Cambria Math" w:hAnsi="Cambria Math" w:eastAsia="宋体"/>
                <w:sz w:val="28"/>
                <w:szCs w:val="32"/>
              </w:rPr>
              <m:t>Q</m:t>
            </m:r>
            <m:ctrlPr>
              <w:rPr>
                <w:rFonts w:ascii="Cambria Math" w:hAnsi="Cambria Math" w:eastAsia="宋体"/>
                <w:i/>
                <w:sz w:val="28"/>
                <w:szCs w:val="32"/>
              </w:rPr>
            </m:ctrlPr>
          </m:den>
        </m:f>
      </m:oMath>
      <w:r>
        <w:rPr>
          <w:rFonts w:hint="eastAsia" w:ascii="宋体" w:hAnsi="宋体" w:eastAsia="宋体"/>
          <w:sz w:val="28"/>
          <w:szCs w:val="32"/>
        </w:rPr>
        <w:tab/>
      </w:r>
      <w:r>
        <w:rPr>
          <w:rFonts w:hint="eastAsia" w:ascii="宋体" w:hAnsi="宋体" w:eastAsia="宋体"/>
          <w:sz w:val="28"/>
          <w:szCs w:val="32"/>
        </w:rPr>
        <w:t>(</w:t>
      </w:r>
      <w:r>
        <w:rPr>
          <w:rFonts w:ascii="宋体" w:hAnsi="宋体" w:eastAsia="宋体"/>
          <w:sz w:val="28"/>
          <w:szCs w:val="32"/>
        </w:rPr>
        <w:t>3</w:t>
      </w:r>
      <w:r>
        <w:rPr>
          <w:rFonts w:hint="eastAsia" w:ascii="宋体" w:hAnsi="宋体" w:eastAsia="宋体"/>
          <w:sz w:val="28"/>
          <w:szCs w:val="32"/>
        </w:rPr>
        <w:t>)</w:t>
      </w:r>
    </w:p>
    <w:p w14:paraId="0A2D7750">
      <w:pPr>
        <w:spacing w:line="360" w:lineRule="auto"/>
        <w:ind w:firstLine="544" w:firstLineChars="200"/>
        <w:rPr>
          <w:rFonts w:hint="eastAsia" w:ascii="宋体" w:hAnsi="宋体" w:eastAsia="宋体" w:cs="宋体"/>
          <w:spacing w:val="-4"/>
          <w:kern w:val="0"/>
          <w:sz w:val="28"/>
          <w:szCs w:val="32"/>
        </w:rPr>
      </w:pPr>
      <w:r>
        <w:rPr>
          <w:rFonts w:hint="eastAsia" w:ascii="宋体" w:hAnsi="宋体" w:eastAsia="宋体" w:cs="宋体"/>
          <w:spacing w:val="-4"/>
          <w:sz w:val="28"/>
          <w:szCs w:val="32"/>
        </w:rPr>
        <w:t>式中：</w:t>
      </w:r>
    </w:p>
    <w:p w14:paraId="0D46EF70">
      <w:pPr>
        <w:spacing w:line="360" w:lineRule="auto"/>
        <w:ind w:firstLine="560" w:firstLineChars="200"/>
        <w:rPr>
          <w:rFonts w:ascii="宋体" w:hAnsi="宋体" w:eastAsia="宋体"/>
          <w:spacing w:val="-4"/>
          <w:sz w:val="28"/>
          <w:szCs w:val="32"/>
        </w:rPr>
      </w:pPr>
      <m:oMath>
        <m:sSub>
          <m:sSubPr>
            <m:ctrlPr>
              <w:rPr>
                <w:rFonts w:ascii="Cambria Math" w:hAnsi="Cambria Math" w:eastAsia="宋体"/>
                <w:i/>
                <w:sz w:val="28"/>
                <w:szCs w:val="32"/>
              </w:rPr>
            </m:ctrlPr>
          </m:sSubPr>
          <m:e>
            <m:r>
              <m:rPr/>
              <w:rPr>
                <w:rFonts w:hint="eastAsia" w:ascii="Cambria Math" w:hAnsi="Cambria Math" w:eastAsia="宋体"/>
                <w:sz w:val="28"/>
                <w:szCs w:val="32"/>
              </w:rPr>
              <m:t>E</m:t>
            </m:r>
            <m:ctrlPr>
              <w:rPr>
                <w:rFonts w:ascii="Cambria Math" w:hAnsi="Cambria Math" w:eastAsia="宋体"/>
                <w:i/>
                <w:sz w:val="28"/>
                <w:szCs w:val="32"/>
              </w:rPr>
            </m:ctrlPr>
          </m:e>
          <m:sub>
            <m:r>
              <m:rPr/>
              <w:rPr>
                <w:rFonts w:hint="eastAsia" w:ascii="Cambria Math" w:hAnsi="Cambria Math" w:eastAsia="宋体"/>
                <w:sz w:val="28"/>
                <w:szCs w:val="32"/>
              </w:rPr>
              <m:t>回收及预处理</m:t>
            </m:r>
            <m:ctrlPr>
              <w:rPr>
                <w:rFonts w:ascii="Cambria Math" w:hAnsi="Cambria Math" w:eastAsia="宋体"/>
                <w:i/>
                <w:sz w:val="28"/>
                <w:szCs w:val="32"/>
              </w:rPr>
            </m:ctrlPr>
          </m:sub>
        </m:sSub>
      </m:oMath>
      <w:r>
        <w:rPr>
          <w:rFonts w:ascii="宋体" w:hAnsi="宋体" w:eastAsia="宋体"/>
          <w:spacing w:val="-4"/>
          <w:sz w:val="28"/>
          <w:szCs w:val="32"/>
        </w:rPr>
        <w:t>——</w:t>
      </w:r>
      <w:r>
        <w:rPr>
          <w:rFonts w:hint="eastAsia" w:ascii="宋体" w:hAnsi="宋体" w:eastAsia="宋体"/>
          <w:sz w:val="28"/>
          <w:szCs w:val="32"/>
        </w:rPr>
        <w:t>废金属回收及预处理阶段的温室气体排放，包括运输阶段（kgCO</w:t>
      </w:r>
      <w:r>
        <w:rPr>
          <w:rFonts w:hint="eastAsia" w:ascii="宋体" w:hAnsi="宋体" w:eastAsia="宋体"/>
          <w:sz w:val="28"/>
          <w:szCs w:val="32"/>
          <w:vertAlign w:val="subscript"/>
        </w:rPr>
        <w:t>2</w:t>
      </w:r>
      <w:r>
        <w:rPr>
          <w:rFonts w:hint="eastAsia" w:ascii="宋体" w:hAnsi="宋体" w:eastAsia="宋体"/>
          <w:sz w:val="28"/>
          <w:szCs w:val="32"/>
        </w:rPr>
        <w:t>e）。</w:t>
      </w:r>
    </w:p>
    <w:p w14:paraId="755C5814">
      <w:pPr>
        <w:pStyle w:val="53"/>
        <w:spacing w:line="360" w:lineRule="auto"/>
        <w:rPr>
          <w:rFonts w:hAnsi="宋体"/>
          <w:sz w:val="28"/>
          <w:szCs w:val="24"/>
        </w:rPr>
      </w:pPr>
      <w:r>
        <w:rPr>
          <w:rFonts w:hint="eastAsia" w:hAnsi="宋体"/>
          <w:sz w:val="28"/>
          <w:szCs w:val="24"/>
        </w:rPr>
        <w:t>每个单元过程的碳足迹核算涉及化石燃料燃烧直接排放、输入电力和热力的间接排放和过程排放，计算见公式（4）：</w:t>
      </w:r>
    </w:p>
    <w:p w14:paraId="72ABE08A">
      <w:pPr>
        <w:tabs>
          <w:tab w:val="center" w:pos="4678"/>
          <w:tab w:val="right" w:leader="middleDot" w:pos="9356"/>
        </w:tabs>
        <w:spacing w:line="360" w:lineRule="auto"/>
        <w:rPr>
          <w:rFonts w:ascii="宋体" w:hAnsi="宋体" w:eastAsia="宋体"/>
          <w:spacing w:val="-4"/>
          <w:sz w:val="28"/>
          <w:szCs w:val="32"/>
        </w:rPr>
      </w:pPr>
      <w:r>
        <w:rPr>
          <w:rFonts w:hint="eastAsia" w:ascii="宋体" w:hAnsi="宋体" w:eastAsia="宋体"/>
          <w:sz w:val="28"/>
          <w:szCs w:val="32"/>
        </w:rPr>
        <w:tab/>
      </w:r>
      <m:oMath>
        <m:sSub>
          <m:sSubPr>
            <m:ctrlPr>
              <w:rPr>
                <w:rFonts w:ascii="Cambria Math" w:hAnsi="Cambria Math" w:eastAsia="宋体"/>
                <w:i/>
                <w:sz w:val="28"/>
                <w:szCs w:val="32"/>
              </w:rPr>
            </m:ctrlPr>
          </m:sSubPr>
          <m:e>
            <m:r>
              <m:rPr/>
              <w:rPr>
                <w:rFonts w:ascii="Cambria Math" w:hAnsi="Cambria Math" w:eastAsia="宋体"/>
                <w:sz w:val="28"/>
                <w:szCs w:val="32"/>
              </w:rPr>
              <m:t>E</m:t>
            </m:r>
            <m:ctrlPr>
              <w:rPr>
                <w:rFonts w:ascii="Cambria Math" w:hAnsi="Cambria Math" w:eastAsia="宋体"/>
                <w:i/>
                <w:sz w:val="28"/>
                <w:szCs w:val="32"/>
              </w:rPr>
            </m:ctrlPr>
          </m:e>
          <m:sub>
            <m:r>
              <m:rPr/>
              <w:rPr>
                <w:rFonts w:ascii="Cambria Math" w:hAnsi="Cambria Math" w:eastAsia="宋体"/>
                <w:sz w:val="28"/>
                <w:szCs w:val="32"/>
              </w:rPr>
              <m:t>i</m:t>
            </m:r>
            <m:ctrlPr>
              <w:rPr>
                <w:rFonts w:ascii="Cambria Math" w:hAnsi="Cambria Math" w:eastAsia="宋体"/>
                <w:i/>
                <w:sz w:val="28"/>
                <w:szCs w:val="32"/>
              </w:rPr>
            </m:ctrlPr>
          </m:sub>
        </m:sSub>
        <m:r>
          <m:rPr/>
          <w:rPr>
            <w:rFonts w:ascii="Cambria Math" w:hAnsi="Cambria Math" w:eastAsia="宋体"/>
            <w:sz w:val="28"/>
            <w:szCs w:val="32"/>
          </w:rPr>
          <m:t>=</m:t>
        </m:r>
        <m:sSub>
          <m:sSubPr>
            <m:ctrlPr>
              <w:rPr>
                <w:rFonts w:ascii="Cambria Math" w:hAnsi="Cambria Math" w:eastAsia="宋体"/>
                <w:i/>
                <w:sz w:val="28"/>
                <w:szCs w:val="32"/>
              </w:rPr>
            </m:ctrlPr>
          </m:sSubPr>
          <m:e>
            <m:r>
              <m:rPr/>
              <w:rPr>
                <w:rFonts w:ascii="Cambria Math" w:hAnsi="Cambria Math" w:eastAsia="宋体"/>
                <w:sz w:val="28"/>
                <w:szCs w:val="32"/>
              </w:rPr>
              <m:t>E</m:t>
            </m:r>
            <m:ctrlPr>
              <w:rPr>
                <w:rFonts w:ascii="Cambria Math" w:hAnsi="Cambria Math" w:eastAsia="宋体"/>
                <w:i/>
                <w:sz w:val="28"/>
                <w:szCs w:val="32"/>
              </w:rPr>
            </m:ctrlPr>
          </m:e>
          <m:sub>
            <m:r>
              <m:rPr/>
              <w:rPr>
                <w:rFonts w:hint="eastAsia" w:ascii="Cambria Math" w:hAnsi="Cambria Math" w:eastAsia="宋体"/>
                <w:sz w:val="28"/>
                <w:szCs w:val="32"/>
              </w:rPr>
              <m:t>直接燃烧</m:t>
            </m:r>
            <m:r>
              <m:rPr/>
              <w:rPr>
                <w:rFonts w:ascii="Cambria Math" w:hAnsi="Cambria Math" w:eastAsia="宋体"/>
                <w:sz w:val="28"/>
                <w:szCs w:val="32"/>
              </w:rPr>
              <m:t>，i</m:t>
            </m:r>
            <m:ctrlPr>
              <w:rPr>
                <w:rFonts w:ascii="Cambria Math" w:hAnsi="Cambria Math" w:eastAsia="宋体"/>
                <w:i/>
                <w:sz w:val="28"/>
                <w:szCs w:val="32"/>
              </w:rPr>
            </m:ctrlPr>
          </m:sub>
        </m:sSub>
        <m:r>
          <m:rPr/>
          <w:rPr>
            <w:rFonts w:ascii="Cambria Math" w:hAnsi="Cambria Math" w:eastAsia="宋体"/>
            <w:sz w:val="28"/>
            <w:szCs w:val="32"/>
          </w:rPr>
          <m:t>+</m:t>
        </m:r>
        <m:sSub>
          <m:sSubPr>
            <m:ctrlPr>
              <w:rPr>
                <w:rFonts w:ascii="Cambria Math" w:hAnsi="Cambria Math" w:eastAsia="宋体"/>
                <w:i/>
                <w:sz w:val="28"/>
                <w:szCs w:val="32"/>
              </w:rPr>
            </m:ctrlPr>
          </m:sSubPr>
          <m:e>
            <m:r>
              <m:rPr/>
              <w:rPr>
                <w:rFonts w:ascii="Cambria Math" w:hAnsi="Cambria Math" w:eastAsia="宋体"/>
                <w:sz w:val="28"/>
                <w:szCs w:val="32"/>
              </w:rPr>
              <m:t>E</m:t>
            </m:r>
            <m:ctrlPr>
              <w:rPr>
                <w:rFonts w:ascii="Cambria Math" w:hAnsi="Cambria Math" w:eastAsia="宋体"/>
                <w:i/>
                <w:sz w:val="28"/>
                <w:szCs w:val="32"/>
              </w:rPr>
            </m:ctrlPr>
          </m:e>
          <m:sub>
            <m:r>
              <m:rPr/>
              <w:rPr>
                <w:rFonts w:hint="eastAsia" w:ascii="Cambria Math" w:hAnsi="Cambria Math" w:eastAsia="宋体"/>
                <w:sz w:val="28"/>
                <w:szCs w:val="32"/>
              </w:rPr>
              <m:t>输入能源，</m:t>
            </m:r>
            <m:r>
              <m:rPr/>
              <w:rPr>
                <w:rFonts w:ascii="Cambria Math" w:hAnsi="Cambria Math" w:eastAsia="宋体"/>
                <w:sz w:val="28"/>
                <w:szCs w:val="32"/>
              </w:rPr>
              <m:t>i</m:t>
            </m:r>
            <m:ctrlPr>
              <w:rPr>
                <w:rFonts w:ascii="Cambria Math" w:hAnsi="Cambria Math" w:eastAsia="宋体"/>
                <w:i/>
                <w:sz w:val="28"/>
                <w:szCs w:val="32"/>
              </w:rPr>
            </m:ctrlPr>
          </m:sub>
        </m:sSub>
        <m:r>
          <m:rPr/>
          <w:rPr>
            <w:rFonts w:ascii="Cambria Math" w:hAnsi="Cambria Math" w:eastAsia="宋体"/>
            <w:sz w:val="28"/>
            <w:szCs w:val="32"/>
          </w:rPr>
          <m:t>+</m:t>
        </m:r>
        <m:sSub>
          <m:sSubPr>
            <m:ctrlPr>
              <w:rPr>
                <w:rFonts w:ascii="Cambria Math" w:hAnsi="Cambria Math" w:eastAsia="宋体"/>
                <w:i/>
                <w:sz w:val="28"/>
                <w:szCs w:val="32"/>
              </w:rPr>
            </m:ctrlPr>
          </m:sSubPr>
          <m:e>
            <m:r>
              <m:rPr/>
              <w:rPr>
                <w:rFonts w:ascii="Cambria Math" w:hAnsi="Cambria Math" w:eastAsia="宋体"/>
                <w:sz w:val="28"/>
                <w:szCs w:val="32"/>
              </w:rPr>
              <m:t>E</m:t>
            </m:r>
            <m:ctrlPr>
              <w:rPr>
                <w:rFonts w:ascii="Cambria Math" w:hAnsi="Cambria Math" w:eastAsia="宋体"/>
                <w:i/>
                <w:sz w:val="28"/>
                <w:szCs w:val="32"/>
              </w:rPr>
            </m:ctrlPr>
          </m:e>
          <m:sub>
            <m:r>
              <m:rPr/>
              <w:rPr>
                <w:rFonts w:hint="eastAsia" w:ascii="Cambria Math" w:hAnsi="Cambria Math" w:eastAsia="宋体"/>
                <w:sz w:val="28"/>
                <w:szCs w:val="32"/>
              </w:rPr>
              <m:t>过程，</m:t>
            </m:r>
            <m:r>
              <m:rPr/>
              <w:rPr>
                <w:rFonts w:ascii="Cambria Math" w:hAnsi="Cambria Math" w:eastAsia="宋体"/>
                <w:sz w:val="28"/>
                <w:szCs w:val="32"/>
              </w:rPr>
              <m:t>i</m:t>
            </m:r>
            <m:ctrlPr>
              <w:rPr>
                <w:rFonts w:ascii="Cambria Math" w:hAnsi="Cambria Math" w:eastAsia="宋体"/>
                <w:i/>
                <w:sz w:val="28"/>
                <w:szCs w:val="32"/>
              </w:rPr>
            </m:ctrlPr>
          </m:sub>
        </m:sSub>
      </m:oMath>
      <w:r>
        <w:rPr>
          <w:rFonts w:hint="eastAsia" w:ascii="宋体" w:hAnsi="宋体" w:eastAsia="宋体"/>
          <w:sz w:val="28"/>
          <w:szCs w:val="32"/>
        </w:rPr>
        <w:tab/>
      </w:r>
      <w:r>
        <w:rPr>
          <w:rFonts w:hint="eastAsia" w:ascii="宋体" w:hAnsi="宋体" w:eastAsia="宋体"/>
          <w:sz w:val="28"/>
          <w:szCs w:val="32"/>
        </w:rPr>
        <w:t>(4)</w:t>
      </w:r>
      <w:r>
        <w:rPr>
          <w:rFonts w:hint="eastAsia" w:ascii="宋体" w:hAnsi="宋体" w:eastAsia="宋体"/>
          <w:spacing w:val="-4"/>
          <w:sz w:val="28"/>
          <w:szCs w:val="32"/>
        </w:rPr>
        <w:t xml:space="preserve">     </w:t>
      </w:r>
    </w:p>
    <w:p w14:paraId="46D1EFEA">
      <w:pPr>
        <w:spacing w:line="360" w:lineRule="auto"/>
        <w:ind w:firstLine="544" w:firstLineChars="200"/>
        <w:rPr>
          <w:rFonts w:ascii="宋体" w:hAnsi="宋体" w:eastAsia="宋体"/>
          <w:spacing w:val="-4"/>
          <w:sz w:val="28"/>
          <w:szCs w:val="32"/>
        </w:rPr>
      </w:pPr>
      <w:r>
        <w:rPr>
          <w:rFonts w:hint="eastAsia" w:ascii="宋体" w:hAnsi="宋体" w:eastAsia="宋体"/>
          <w:spacing w:val="-4"/>
          <w:sz w:val="28"/>
          <w:szCs w:val="32"/>
        </w:rPr>
        <w:t>式中：</w:t>
      </w:r>
    </w:p>
    <w:p w14:paraId="7EEDBF7E">
      <w:pPr>
        <w:spacing w:line="360" w:lineRule="auto"/>
        <w:ind w:firstLine="560" w:firstLineChars="200"/>
        <w:rPr>
          <w:rFonts w:ascii="宋体" w:hAnsi="宋体" w:eastAsia="宋体"/>
          <w:spacing w:val="-4"/>
          <w:sz w:val="28"/>
          <w:szCs w:val="32"/>
        </w:rPr>
      </w:pPr>
      <m:oMath>
        <m:sSub>
          <m:sSubPr>
            <m:ctrlPr>
              <w:rPr>
                <w:rFonts w:ascii="Cambria Math" w:hAnsi="Cambria Math" w:eastAsia="宋体"/>
                <w:i/>
                <w:sz w:val="28"/>
                <w:szCs w:val="32"/>
              </w:rPr>
            </m:ctrlPr>
          </m:sSubPr>
          <m:e>
            <m:r>
              <m:rPr/>
              <w:rPr>
                <w:rFonts w:hint="eastAsia" w:ascii="Cambria Math" w:hAnsi="Cambria Math" w:eastAsia="宋体"/>
                <w:sz w:val="28"/>
                <w:szCs w:val="32"/>
              </w:rPr>
              <m:t>E</m:t>
            </m:r>
            <m:ctrlPr>
              <w:rPr>
                <w:rFonts w:ascii="Cambria Math" w:hAnsi="Cambria Math" w:eastAsia="宋体"/>
                <w:i/>
                <w:sz w:val="28"/>
                <w:szCs w:val="32"/>
              </w:rPr>
            </m:ctrlPr>
          </m:e>
          <m:sub>
            <m:r>
              <m:rPr/>
              <w:rPr>
                <w:rFonts w:hint="eastAsia" w:ascii="Cambria Math" w:hAnsi="Cambria Math" w:eastAsia="宋体"/>
                <w:sz w:val="28"/>
                <w:szCs w:val="32"/>
              </w:rPr>
              <m:t>直接燃烧，</m:t>
            </m:r>
            <m:r>
              <m:rPr/>
              <w:rPr>
                <w:rFonts w:ascii="Cambria Math" w:hAnsi="Cambria Math" w:eastAsia="宋体"/>
                <w:sz w:val="28"/>
                <w:szCs w:val="32"/>
              </w:rPr>
              <m:t>i</m:t>
            </m:r>
            <m:ctrlPr>
              <w:rPr>
                <w:rFonts w:ascii="Cambria Math" w:hAnsi="Cambria Math" w:eastAsia="宋体"/>
                <w:i/>
                <w:sz w:val="28"/>
                <w:szCs w:val="32"/>
              </w:rPr>
            </m:ctrlPr>
          </m:sub>
        </m:sSub>
      </m:oMath>
      <w:r>
        <w:rPr>
          <w:rFonts w:ascii="宋体" w:hAnsi="宋体" w:eastAsia="宋体"/>
          <w:spacing w:val="-4"/>
          <w:sz w:val="28"/>
          <w:szCs w:val="32"/>
        </w:rPr>
        <w:t>——</w:t>
      </w:r>
      <w:r>
        <w:rPr>
          <w:rFonts w:hint="eastAsia" w:ascii="宋体" w:hAnsi="宋体" w:eastAsia="宋体"/>
          <w:spacing w:val="-4"/>
          <w:sz w:val="28"/>
          <w:szCs w:val="32"/>
        </w:rPr>
        <w:t>单元过程</w:t>
      </w:r>
      <m:oMath>
        <m:r>
          <m:rPr/>
          <w:rPr>
            <w:rFonts w:ascii="Cambria Math" w:hAnsi="Cambria Math" w:eastAsia="宋体"/>
            <w:sz w:val="28"/>
            <w:szCs w:val="32"/>
          </w:rPr>
          <m:t>i</m:t>
        </m:r>
      </m:oMath>
      <w:r>
        <w:rPr>
          <w:rFonts w:hint="eastAsia" w:ascii="宋体" w:hAnsi="宋体" w:eastAsia="宋体"/>
          <w:spacing w:val="-4"/>
          <w:sz w:val="28"/>
          <w:szCs w:val="32"/>
        </w:rPr>
        <w:t>中化石燃料燃烧直接产生的温室气体排放量（kgCO</w:t>
      </w:r>
      <w:r>
        <w:rPr>
          <w:rFonts w:hint="eastAsia" w:ascii="宋体" w:hAnsi="宋体" w:eastAsia="宋体"/>
          <w:spacing w:val="-4"/>
          <w:sz w:val="28"/>
          <w:szCs w:val="32"/>
          <w:vertAlign w:val="subscript"/>
        </w:rPr>
        <w:t>2</w:t>
      </w:r>
      <w:r>
        <w:rPr>
          <w:rFonts w:hint="eastAsia" w:ascii="宋体" w:hAnsi="宋体" w:eastAsia="宋体"/>
          <w:spacing w:val="-4"/>
          <w:sz w:val="28"/>
          <w:szCs w:val="32"/>
        </w:rPr>
        <w:t>e）；</w:t>
      </w:r>
    </w:p>
    <w:p w14:paraId="01D83CAA">
      <w:pPr>
        <w:spacing w:line="360" w:lineRule="auto"/>
        <w:ind w:firstLine="560" w:firstLineChars="200"/>
        <w:rPr>
          <w:rFonts w:ascii="宋体" w:hAnsi="宋体" w:eastAsia="宋体"/>
          <w:spacing w:val="-4"/>
          <w:sz w:val="28"/>
          <w:szCs w:val="32"/>
        </w:rPr>
      </w:pPr>
      <m:oMath>
        <m:sSub>
          <m:sSubPr>
            <m:ctrlPr>
              <w:rPr>
                <w:rFonts w:ascii="Cambria Math" w:hAnsi="Cambria Math" w:eastAsia="宋体"/>
                <w:i/>
                <w:sz w:val="28"/>
                <w:szCs w:val="32"/>
              </w:rPr>
            </m:ctrlPr>
          </m:sSubPr>
          <m:e>
            <m:r>
              <m:rPr/>
              <w:rPr>
                <w:rFonts w:hint="eastAsia" w:ascii="Cambria Math" w:hAnsi="Cambria Math" w:eastAsia="宋体"/>
                <w:sz w:val="28"/>
                <w:szCs w:val="32"/>
              </w:rPr>
              <m:t>E</m:t>
            </m:r>
            <m:ctrlPr>
              <w:rPr>
                <w:rFonts w:ascii="Cambria Math" w:hAnsi="Cambria Math" w:eastAsia="宋体"/>
                <w:i/>
                <w:sz w:val="28"/>
                <w:szCs w:val="32"/>
              </w:rPr>
            </m:ctrlPr>
          </m:e>
          <m:sub>
            <m:r>
              <m:rPr/>
              <w:rPr>
                <w:rFonts w:hint="eastAsia" w:ascii="Cambria Math" w:hAnsi="Cambria Math" w:eastAsia="宋体"/>
                <w:sz w:val="28"/>
                <w:szCs w:val="32"/>
              </w:rPr>
              <m:t>输入能源，</m:t>
            </m:r>
            <m:r>
              <m:rPr/>
              <w:rPr>
                <w:rFonts w:ascii="Cambria Math" w:hAnsi="Cambria Math" w:eastAsia="宋体"/>
                <w:sz w:val="28"/>
                <w:szCs w:val="32"/>
              </w:rPr>
              <m:t>i</m:t>
            </m:r>
            <m:ctrlPr>
              <w:rPr>
                <w:rFonts w:ascii="Cambria Math" w:hAnsi="Cambria Math" w:eastAsia="宋体"/>
                <w:i/>
                <w:sz w:val="28"/>
                <w:szCs w:val="32"/>
              </w:rPr>
            </m:ctrlPr>
          </m:sub>
        </m:sSub>
      </m:oMath>
      <w:r>
        <w:rPr>
          <w:rFonts w:ascii="宋体" w:hAnsi="宋体" w:eastAsia="宋体"/>
          <w:spacing w:val="-4"/>
          <w:sz w:val="28"/>
          <w:szCs w:val="32"/>
        </w:rPr>
        <w:t>——</w:t>
      </w:r>
      <w:r>
        <w:rPr>
          <w:rFonts w:hint="eastAsia" w:ascii="宋体" w:hAnsi="宋体" w:eastAsia="宋体"/>
          <w:spacing w:val="-4"/>
          <w:sz w:val="28"/>
          <w:szCs w:val="32"/>
        </w:rPr>
        <w:t>单元过程</w:t>
      </w:r>
      <m:oMath>
        <m:r>
          <m:rPr/>
          <w:rPr>
            <w:rFonts w:ascii="Cambria Math" w:hAnsi="Cambria Math" w:eastAsia="宋体"/>
            <w:sz w:val="28"/>
            <w:szCs w:val="32"/>
          </w:rPr>
          <m:t>i</m:t>
        </m:r>
      </m:oMath>
      <w:r>
        <w:rPr>
          <w:rFonts w:hint="eastAsia" w:ascii="宋体" w:hAnsi="宋体" w:eastAsia="宋体"/>
          <w:spacing w:val="-4"/>
          <w:sz w:val="28"/>
          <w:szCs w:val="32"/>
        </w:rPr>
        <w:t>中输入电力和热力间接产生的温室气体排放量（kgCO</w:t>
      </w:r>
      <w:r>
        <w:rPr>
          <w:rFonts w:hint="eastAsia" w:ascii="宋体" w:hAnsi="宋体" w:eastAsia="宋体"/>
          <w:spacing w:val="-4"/>
          <w:sz w:val="28"/>
          <w:szCs w:val="32"/>
          <w:vertAlign w:val="subscript"/>
        </w:rPr>
        <w:t>2</w:t>
      </w:r>
      <w:r>
        <w:rPr>
          <w:rFonts w:hint="eastAsia" w:ascii="宋体" w:hAnsi="宋体" w:eastAsia="宋体"/>
          <w:spacing w:val="-4"/>
          <w:sz w:val="28"/>
          <w:szCs w:val="32"/>
        </w:rPr>
        <w:t>e）；</w:t>
      </w:r>
    </w:p>
    <w:p w14:paraId="5F9BEAD9">
      <w:pPr>
        <w:spacing w:line="360" w:lineRule="auto"/>
        <w:ind w:firstLine="560" w:firstLineChars="200"/>
        <w:rPr>
          <w:rFonts w:ascii="宋体" w:hAnsi="宋体" w:eastAsia="宋体"/>
          <w:spacing w:val="-4"/>
          <w:sz w:val="28"/>
          <w:szCs w:val="32"/>
        </w:rPr>
      </w:pPr>
      <m:oMath>
        <m:sSub>
          <m:sSubPr>
            <m:ctrlPr>
              <w:rPr>
                <w:rFonts w:ascii="Cambria Math" w:hAnsi="Cambria Math" w:eastAsia="宋体"/>
                <w:i/>
                <w:sz w:val="28"/>
                <w:szCs w:val="32"/>
              </w:rPr>
            </m:ctrlPr>
          </m:sSubPr>
          <m:e>
            <m:r>
              <m:rPr/>
              <w:rPr>
                <w:rFonts w:hint="eastAsia" w:ascii="Cambria Math" w:hAnsi="Cambria Math" w:eastAsia="宋体"/>
                <w:sz w:val="28"/>
                <w:szCs w:val="32"/>
              </w:rPr>
              <m:t>E</m:t>
            </m:r>
            <m:ctrlPr>
              <w:rPr>
                <w:rFonts w:ascii="Cambria Math" w:hAnsi="Cambria Math" w:eastAsia="宋体"/>
                <w:i/>
                <w:sz w:val="28"/>
                <w:szCs w:val="32"/>
              </w:rPr>
            </m:ctrlPr>
          </m:e>
          <m:sub>
            <m:r>
              <m:rPr/>
              <w:rPr>
                <w:rFonts w:hint="eastAsia" w:ascii="Cambria Math" w:hAnsi="Cambria Math" w:eastAsia="宋体"/>
                <w:sz w:val="28"/>
                <w:szCs w:val="32"/>
              </w:rPr>
              <m:t>过程，</m:t>
            </m:r>
            <m:r>
              <m:rPr/>
              <w:rPr>
                <w:rFonts w:ascii="Cambria Math" w:hAnsi="Cambria Math" w:eastAsia="宋体"/>
                <w:sz w:val="28"/>
                <w:szCs w:val="32"/>
              </w:rPr>
              <m:t>i</m:t>
            </m:r>
            <m:ctrlPr>
              <w:rPr>
                <w:rFonts w:ascii="Cambria Math" w:hAnsi="Cambria Math" w:eastAsia="宋体"/>
                <w:i/>
                <w:sz w:val="28"/>
                <w:szCs w:val="32"/>
              </w:rPr>
            </m:ctrlPr>
          </m:sub>
        </m:sSub>
      </m:oMath>
      <w:r>
        <w:rPr>
          <w:rFonts w:hint="eastAsia" w:ascii="宋体" w:hAnsi="宋体" w:eastAsia="宋体"/>
          <w:sz w:val="28"/>
          <w:szCs w:val="32"/>
        </w:rPr>
        <w:t xml:space="preserve">  </w:t>
      </w:r>
      <w:r>
        <w:rPr>
          <w:rFonts w:hint="eastAsia" w:ascii="宋体" w:hAnsi="宋体" w:eastAsia="宋体"/>
          <w:sz w:val="22"/>
        </w:rPr>
        <w:t xml:space="preserve"> </w:t>
      </w:r>
      <w:r>
        <w:rPr>
          <w:rFonts w:ascii="宋体" w:hAnsi="宋体" w:eastAsia="宋体"/>
          <w:spacing w:val="-4"/>
          <w:sz w:val="28"/>
          <w:szCs w:val="32"/>
        </w:rPr>
        <w:t>——</w:t>
      </w:r>
      <w:r>
        <w:rPr>
          <w:rFonts w:hint="eastAsia" w:ascii="宋体" w:hAnsi="宋体" w:eastAsia="宋体"/>
          <w:spacing w:val="-4"/>
          <w:sz w:val="28"/>
          <w:szCs w:val="32"/>
        </w:rPr>
        <w:t>单元过程</w:t>
      </w:r>
      <m:oMath>
        <m:r>
          <m:rPr/>
          <w:rPr>
            <w:rFonts w:ascii="Cambria Math" w:hAnsi="Cambria Math" w:eastAsia="宋体"/>
            <w:sz w:val="28"/>
            <w:szCs w:val="32"/>
          </w:rPr>
          <m:t>i</m:t>
        </m:r>
      </m:oMath>
      <w:r>
        <w:rPr>
          <w:rFonts w:hint="eastAsia" w:ascii="宋体" w:hAnsi="宋体" w:eastAsia="宋体"/>
          <w:spacing w:val="-4"/>
          <w:sz w:val="28"/>
          <w:szCs w:val="32"/>
        </w:rPr>
        <w:t>中产生的工艺过程排放，如废气处理过程中石灰石反应产生的二氧化碳排放、废水厌氧处理过程中的甲烷排放等（kgCO</w:t>
      </w:r>
      <w:r>
        <w:rPr>
          <w:rFonts w:hint="eastAsia" w:ascii="宋体" w:hAnsi="宋体" w:eastAsia="宋体"/>
          <w:spacing w:val="-4"/>
          <w:sz w:val="28"/>
          <w:szCs w:val="32"/>
          <w:vertAlign w:val="subscript"/>
        </w:rPr>
        <w:t>2</w:t>
      </w:r>
      <w:r>
        <w:rPr>
          <w:rFonts w:hint="eastAsia" w:ascii="宋体" w:hAnsi="宋体" w:eastAsia="宋体"/>
          <w:spacing w:val="-4"/>
          <w:sz w:val="28"/>
          <w:szCs w:val="32"/>
        </w:rPr>
        <w:t>e）；</w:t>
      </w:r>
    </w:p>
    <w:p w14:paraId="7B8D5D4C">
      <w:pPr>
        <w:spacing w:line="360" w:lineRule="auto"/>
        <w:ind w:firstLine="560" w:firstLineChars="200"/>
        <w:rPr>
          <w:rFonts w:ascii="宋体" w:hAnsi="宋体" w:eastAsia="宋体"/>
          <w:spacing w:val="-4"/>
          <w:sz w:val="28"/>
          <w:szCs w:val="32"/>
        </w:rPr>
      </w:pPr>
      <m:oMath>
        <m:r>
          <m:rPr/>
          <w:rPr>
            <w:rFonts w:ascii="Cambria Math" w:hAnsi="Cambria Math" w:eastAsia="宋体"/>
            <w:sz w:val="28"/>
            <w:szCs w:val="32"/>
          </w:rPr>
          <m:t>i</m:t>
        </m:r>
      </m:oMath>
      <w:r>
        <w:rPr>
          <w:rFonts w:hint="eastAsia" w:ascii="宋体" w:hAnsi="宋体" w:eastAsia="宋体"/>
          <w:sz w:val="28"/>
          <w:szCs w:val="32"/>
        </w:rPr>
        <w:t xml:space="preserve">       </w:t>
      </w:r>
      <w:r>
        <w:rPr>
          <w:rFonts w:hint="eastAsia" w:ascii="宋体" w:hAnsi="宋体" w:eastAsia="宋体"/>
          <w:sz w:val="40"/>
          <w:szCs w:val="40"/>
        </w:rPr>
        <w:t xml:space="preserve"> </w:t>
      </w:r>
      <w:r>
        <w:rPr>
          <w:rFonts w:ascii="宋体" w:hAnsi="宋体" w:eastAsia="宋体"/>
          <w:spacing w:val="-4"/>
          <w:sz w:val="28"/>
          <w:szCs w:val="32"/>
        </w:rPr>
        <w:t>——</w:t>
      </w:r>
      <w:r>
        <w:rPr>
          <w:rFonts w:hint="eastAsia" w:ascii="宋体" w:hAnsi="宋体" w:eastAsia="宋体"/>
          <w:spacing w:val="-4"/>
          <w:sz w:val="28"/>
          <w:szCs w:val="32"/>
        </w:rPr>
        <w:t>单元过程。</w:t>
      </w:r>
    </w:p>
    <w:p w14:paraId="794134FA">
      <w:pPr>
        <w:pStyle w:val="53"/>
        <w:spacing w:line="360" w:lineRule="auto"/>
        <w:rPr>
          <w:rFonts w:hAnsi="宋体"/>
          <w:sz w:val="28"/>
          <w:szCs w:val="24"/>
        </w:rPr>
      </w:pPr>
      <w:r>
        <w:rPr>
          <w:rFonts w:hint="eastAsia" w:hAnsi="宋体"/>
          <w:sz w:val="28"/>
          <w:szCs w:val="24"/>
        </w:rPr>
        <w:t>每个单元过程燃料燃烧排放、输入能源间接排放和过程排放的碳足迹核算方法见公式（5）：</w:t>
      </w:r>
    </w:p>
    <w:p w14:paraId="559A4B23">
      <w:pPr>
        <w:tabs>
          <w:tab w:val="center" w:pos="4678"/>
          <w:tab w:val="right" w:leader="middleDot" w:pos="9356"/>
        </w:tabs>
        <w:spacing w:line="360" w:lineRule="auto"/>
        <w:rPr>
          <w:rFonts w:hint="eastAsia" w:ascii="宋体" w:hAnsi="宋体" w:eastAsia="宋体"/>
          <w:sz w:val="28"/>
          <w:szCs w:val="32"/>
        </w:rPr>
      </w:pPr>
      <w:r>
        <w:rPr>
          <w:rFonts w:hint="eastAsia" w:ascii="宋体" w:hAnsi="宋体" w:eastAsia="宋体"/>
          <w:sz w:val="28"/>
          <w:szCs w:val="32"/>
        </w:rPr>
        <w:tab/>
      </w:r>
      <m:oMath>
        <m:sSub>
          <m:sSubPr>
            <m:ctrlPr>
              <w:rPr>
                <w:rFonts w:ascii="Cambria Math" w:hAnsi="Cambria Math" w:eastAsia="宋体"/>
                <w:i/>
                <w:sz w:val="28"/>
                <w:szCs w:val="32"/>
              </w:rPr>
            </m:ctrlPr>
          </m:sSubPr>
          <m:e>
            <m:r>
              <m:rPr/>
              <w:rPr>
                <w:rFonts w:hint="eastAsia" w:ascii="Cambria Math" w:hAnsi="Cambria Math" w:eastAsia="宋体"/>
                <w:sz w:val="28"/>
                <w:szCs w:val="32"/>
              </w:rPr>
              <m:t>E</m:t>
            </m:r>
            <m:ctrlPr>
              <w:rPr>
                <w:rFonts w:ascii="Cambria Math" w:hAnsi="Cambria Math" w:eastAsia="宋体"/>
                <w:i/>
                <w:sz w:val="28"/>
                <w:szCs w:val="32"/>
              </w:rPr>
            </m:ctrlPr>
          </m:e>
          <m:sub>
            <m:r>
              <m:rPr/>
              <w:rPr>
                <w:rFonts w:ascii="Cambria Math" w:hAnsi="Cambria Math" w:eastAsia="宋体"/>
                <w:sz w:val="28"/>
                <w:szCs w:val="32"/>
              </w:rPr>
              <m:t>i,j</m:t>
            </m:r>
            <m:ctrlPr>
              <w:rPr>
                <w:rFonts w:ascii="Cambria Math" w:hAnsi="Cambria Math" w:eastAsia="宋体"/>
                <w:i/>
                <w:sz w:val="28"/>
                <w:szCs w:val="32"/>
              </w:rPr>
            </m:ctrlPr>
          </m:sub>
        </m:sSub>
        <m:r>
          <m:rPr/>
          <w:rPr>
            <w:rFonts w:ascii="Cambria Math" w:hAnsi="Cambria Math" w:eastAsia="宋体"/>
            <w:sz w:val="28"/>
            <w:szCs w:val="32"/>
          </w:rPr>
          <m:t>=</m:t>
        </m:r>
        <m:nary>
          <m:naryPr>
            <m:chr m:val="∑"/>
            <m:limLoc m:val="undOvr"/>
            <m:ctrlPr>
              <w:rPr>
                <w:rFonts w:ascii="Cambria Math" w:hAnsi="Cambria Math" w:eastAsia="宋体"/>
                <w:i/>
                <w:sz w:val="28"/>
                <w:szCs w:val="32"/>
              </w:rPr>
            </m:ctrlPr>
          </m:naryPr>
          <m:sub>
            <m:r>
              <m:rPr/>
              <w:rPr>
                <w:rFonts w:ascii="Cambria Math" w:hAnsi="Cambria Math" w:eastAsia="宋体"/>
                <w:sz w:val="28"/>
                <w:szCs w:val="32"/>
              </w:rPr>
              <m:t>j=1</m:t>
            </m:r>
            <m:ctrlPr>
              <w:rPr>
                <w:rFonts w:ascii="Cambria Math" w:hAnsi="Cambria Math" w:eastAsia="宋体"/>
                <w:i/>
                <w:sz w:val="28"/>
                <w:szCs w:val="32"/>
              </w:rPr>
            </m:ctrlPr>
          </m:sub>
          <m:sup>
            <m:r>
              <m:rPr/>
              <w:rPr>
                <w:rFonts w:ascii="Cambria Math" w:hAnsi="Cambria Math" w:eastAsia="宋体"/>
                <w:sz w:val="28"/>
                <w:szCs w:val="32"/>
              </w:rPr>
              <m:t>3</m:t>
            </m:r>
            <m:ctrlPr>
              <w:rPr>
                <w:rFonts w:ascii="Cambria Math" w:hAnsi="Cambria Math" w:eastAsia="宋体"/>
                <w:i/>
                <w:sz w:val="28"/>
                <w:szCs w:val="32"/>
              </w:rPr>
            </m:ctrlPr>
          </m:sup>
          <m:e>
            <m:nary>
              <m:naryPr>
                <m:chr m:val="∑"/>
                <m:limLoc m:val="subSup"/>
                <m:ctrlPr>
                  <w:rPr>
                    <w:rFonts w:ascii="Cambria Math" w:hAnsi="Cambria Math" w:eastAsia="宋体"/>
                    <w:i/>
                    <w:sz w:val="28"/>
                    <w:szCs w:val="32"/>
                  </w:rPr>
                </m:ctrlPr>
              </m:naryPr>
              <m:sub>
                <m:r>
                  <m:rPr/>
                  <w:rPr>
                    <w:rFonts w:ascii="Cambria Math" w:hAnsi="Cambria Math" w:eastAsia="宋体"/>
                    <w:sz w:val="28"/>
                    <w:szCs w:val="32"/>
                  </w:rPr>
                  <m:t>p=1</m:t>
                </m:r>
                <m:ctrlPr>
                  <w:rPr>
                    <w:rFonts w:ascii="Cambria Math" w:hAnsi="Cambria Math" w:eastAsia="宋体"/>
                    <w:i/>
                    <w:sz w:val="28"/>
                    <w:szCs w:val="32"/>
                  </w:rPr>
                </m:ctrlPr>
              </m:sub>
              <m:sup>
                <m:r>
                  <m:rPr/>
                  <w:rPr>
                    <w:rFonts w:ascii="Cambria Math" w:hAnsi="Cambria Math" w:eastAsia="宋体"/>
                    <w:sz w:val="28"/>
                    <w:szCs w:val="32"/>
                  </w:rPr>
                  <m:t>n</m:t>
                </m:r>
                <m:ctrlPr>
                  <w:rPr>
                    <w:rFonts w:ascii="Cambria Math" w:hAnsi="Cambria Math" w:eastAsia="宋体"/>
                    <w:i/>
                    <w:sz w:val="28"/>
                    <w:szCs w:val="32"/>
                  </w:rPr>
                </m:ctrlPr>
              </m:sup>
              <m:e>
                <m:sSub>
                  <m:sSubPr>
                    <m:ctrlPr>
                      <w:rPr>
                        <w:rFonts w:ascii="Cambria Math" w:hAnsi="Cambria Math" w:eastAsia="宋体"/>
                        <w:i/>
                        <w:sz w:val="28"/>
                        <w:szCs w:val="32"/>
                      </w:rPr>
                    </m:ctrlPr>
                  </m:sSubPr>
                  <m:e>
                    <m:r>
                      <m:rPr/>
                      <w:rPr>
                        <w:rFonts w:ascii="Cambria Math" w:hAnsi="Cambria Math" w:eastAsia="宋体"/>
                        <w:sz w:val="28"/>
                        <w:szCs w:val="32"/>
                      </w:rPr>
                      <m:t>AD</m:t>
                    </m:r>
                    <m:ctrlPr>
                      <w:rPr>
                        <w:rFonts w:ascii="Cambria Math" w:hAnsi="Cambria Math" w:eastAsia="宋体"/>
                        <w:i/>
                        <w:sz w:val="28"/>
                        <w:szCs w:val="32"/>
                      </w:rPr>
                    </m:ctrlPr>
                  </m:e>
                  <m:sub>
                    <m:r>
                      <m:rPr/>
                      <w:rPr>
                        <w:rFonts w:ascii="Cambria Math" w:hAnsi="Cambria Math" w:eastAsia="宋体"/>
                        <w:sz w:val="28"/>
                        <w:szCs w:val="32"/>
                      </w:rPr>
                      <m:t>i,j,p</m:t>
                    </m:r>
                    <m:ctrlPr>
                      <w:rPr>
                        <w:rFonts w:ascii="Cambria Math" w:hAnsi="Cambria Math" w:eastAsia="宋体"/>
                        <w:i/>
                        <w:sz w:val="28"/>
                        <w:szCs w:val="32"/>
                      </w:rPr>
                    </m:ctrlPr>
                  </m:sub>
                </m:sSub>
                <m:r>
                  <m:rPr/>
                  <w:rPr>
                    <w:rFonts w:ascii="Cambria Math" w:hAnsi="Cambria Math" w:eastAsia="宋体"/>
                    <w:sz w:val="28"/>
                    <w:szCs w:val="32"/>
                  </w:rPr>
                  <m:t>×</m:t>
                </m:r>
                <m:sSub>
                  <m:sSubPr>
                    <m:ctrlPr>
                      <w:rPr>
                        <w:rFonts w:ascii="Cambria Math" w:hAnsi="Cambria Math" w:eastAsia="宋体"/>
                        <w:i/>
                        <w:sz w:val="28"/>
                        <w:szCs w:val="32"/>
                      </w:rPr>
                    </m:ctrlPr>
                  </m:sSubPr>
                  <m:e>
                    <m:r>
                      <m:rPr/>
                      <w:rPr>
                        <w:rFonts w:ascii="Cambria Math" w:hAnsi="Cambria Math" w:eastAsia="宋体"/>
                        <w:sz w:val="28"/>
                        <w:szCs w:val="32"/>
                      </w:rPr>
                      <m:t>EF</m:t>
                    </m:r>
                    <m:ctrlPr>
                      <w:rPr>
                        <w:rFonts w:ascii="Cambria Math" w:hAnsi="Cambria Math" w:eastAsia="宋体"/>
                        <w:i/>
                        <w:sz w:val="28"/>
                        <w:szCs w:val="32"/>
                      </w:rPr>
                    </m:ctrlPr>
                  </m:e>
                  <m:sub>
                    <m:r>
                      <m:rPr/>
                      <w:rPr>
                        <w:rFonts w:ascii="Cambria Math" w:hAnsi="Cambria Math" w:eastAsia="宋体"/>
                        <w:sz w:val="28"/>
                        <w:szCs w:val="32"/>
                      </w:rPr>
                      <m:t>i,j,p</m:t>
                    </m:r>
                    <m:ctrlPr>
                      <w:rPr>
                        <w:rFonts w:ascii="Cambria Math" w:hAnsi="Cambria Math" w:eastAsia="宋体"/>
                        <w:i/>
                        <w:sz w:val="28"/>
                        <w:szCs w:val="32"/>
                      </w:rPr>
                    </m:ctrlPr>
                  </m:sub>
                </m:sSub>
                <m:r>
                  <m:rPr/>
                  <w:rPr>
                    <w:rFonts w:ascii="Cambria Math" w:hAnsi="Cambria Math" w:eastAsia="宋体"/>
                    <w:sz w:val="28"/>
                    <w:szCs w:val="32"/>
                  </w:rPr>
                  <m:t>×</m:t>
                </m:r>
                <m:sSub>
                  <m:sSubPr>
                    <m:ctrlPr>
                      <w:rPr>
                        <w:rFonts w:ascii="Cambria Math" w:hAnsi="Cambria Math" w:eastAsia="宋体"/>
                        <w:i/>
                        <w:sz w:val="28"/>
                        <w:szCs w:val="32"/>
                      </w:rPr>
                    </m:ctrlPr>
                  </m:sSubPr>
                  <m:e>
                    <m:r>
                      <m:rPr/>
                      <w:rPr>
                        <w:rFonts w:ascii="Cambria Math" w:hAnsi="Cambria Math" w:eastAsia="宋体"/>
                        <w:sz w:val="28"/>
                        <w:szCs w:val="32"/>
                      </w:rPr>
                      <m:t>GWP</m:t>
                    </m:r>
                    <m:ctrlPr>
                      <w:rPr>
                        <w:rFonts w:ascii="Cambria Math" w:hAnsi="Cambria Math" w:eastAsia="宋体"/>
                        <w:i/>
                        <w:sz w:val="28"/>
                        <w:szCs w:val="32"/>
                      </w:rPr>
                    </m:ctrlPr>
                  </m:e>
                  <m:sub>
                    <m:r>
                      <m:rPr/>
                      <w:rPr>
                        <w:rFonts w:ascii="Cambria Math" w:hAnsi="Cambria Math" w:eastAsia="宋体"/>
                        <w:sz w:val="28"/>
                        <w:szCs w:val="32"/>
                      </w:rPr>
                      <m:t>p</m:t>
                    </m:r>
                    <m:ctrlPr>
                      <w:rPr>
                        <w:rFonts w:ascii="Cambria Math" w:hAnsi="Cambria Math" w:eastAsia="宋体"/>
                        <w:i/>
                        <w:sz w:val="28"/>
                        <w:szCs w:val="32"/>
                      </w:rPr>
                    </m:ctrlPr>
                  </m:sub>
                </m:sSub>
                <m:ctrlPr>
                  <w:rPr>
                    <w:rFonts w:ascii="Cambria Math" w:hAnsi="Cambria Math" w:eastAsia="宋体"/>
                    <w:i/>
                    <w:sz w:val="28"/>
                    <w:szCs w:val="32"/>
                  </w:rPr>
                </m:ctrlPr>
              </m:e>
            </m:nary>
            <m:ctrlPr>
              <w:rPr>
                <w:rFonts w:ascii="Cambria Math" w:hAnsi="Cambria Math" w:eastAsia="宋体"/>
                <w:i/>
                <w:sz w:val="28"/>
                <w:szCs w:val="32"/>
              </w:rPr>
            </m:ctrlPr>
          </m:e>
        </m:nary>
      </m:oMath>
      <w:r>
        <w:rPr>
          <w:rFonts w:hint="eastAsia" w:ascii="宋体" w:hAnsi="宋体" w:eastAsia="宋体"/>
          <w:sz w:val="28"/>
          <w:szCs w:val="32"/>
        </w:rPr>
        <w:t xml:space="preserve"> </w:t>
      </w:r>
      <w:r>
        <w:rPr>
          <w:rFonts w:hint="eastAsia" w:ascii="宋体" w:hAnsi="宋体" w:eastAsia="宋体"/>
          <w:sz w:val="28"/>
          <w:szCs w:val="32"/>
        </w:rPr>
        <w:tab/>
      </w:r>
      <w:r>
        <w:rPr>
          <w:rFonts w:hint="eastAsia" w:ascii="宋体" w:hAnsi="宋体" w:eastAsia="宋体"/>
          <w:sz w:val="28"/>
          <w:szCs w:val="32"/>
        </w:rPr>
        <w:t>(5)</w:t>
      </w:r>
    </w:p>
    <w:p w14:paraId="1B416259">
      <w:pPr>
        <w:pStyle w:val="19"/>
        <w:spacing w:line="360" w:lineRule="auto"/>
        <w:ind w:firstLine="560"/>
        <w:rPr>
          <w:rFonts w:hint="eastAsia" w:hAnsi="宋体"/>
          <w:sz w:val="28"/>
          <w:szCs w:val="24"/>
        </w:rPr>
      </w:pPr>
      <w:r>
        <w:rPr>
          <w:rFonts w:hint="eastAsia" w:hAnsi="宋体"/>
          <w:sz w:val="28"/>
          <w:szCs w:val="24"/>
        </w:rPr>
        <w:t>式中：</w:t>
      </w:r>
    </w:p>
    <w:p w14:paraId="3666A1A3">
      <w:pPr>
        <w:pStyle w:val="19"/>
        <w:spacing w:line="360" w:lineRule="auto"/>
        <w:ind w:firstLine="560"/>
        <w:rPr>
          <w:rFonts w:hAnsi="宋体"/>
          <w:sz w:val="28"/>
          <w:szCs w:val="24"/>
        </w:rPr>
      </w:pPr>
      <m:oMath>
        <m:r>
          <m:rPr/>
          <w:rPr>
            <w:rFonts w:ascii="Cambria Math" w:hAnsi="Cambria Math"/>
            <w:sz w:val="28"/>
            <w:szCs w:val="24"/>
          </w:rPr>
          <m:t>j</m:t>
        </m:r>
      </m:oMath>
      <w:r>
        <w:rPr>
          <w:rFonts w:hint="eastAsia" w:hAnsi="宋体"/>
          <w:sz w:val="28"/>
          <w:szCs w:val="24"/>
        </w:rPr>
        <w:t xml:space="preserve">   </w:t>
      </w:r>
      <w:r>
        <w:rPr>
          <w:rFonts w:hint="eastAsia" w:hAnsi="宋体"/>
          <w:sz w:val="22"/>
          <w:szCs w:val="21"/>
        </w:rPr>
        <w:t xml:space="preserve">  </w:t>
      </w:r>
      <w:r>
        <w:rPr>
          <w:rFonts w:hAnsi="宋体"/>
          <w:spacing w:val="-4"/>
          <w:sz w:val="28"/>
          <w:szCs w:val="24"/>
        </w:rPr>
        <w:t>——</w:t>
      </w:r>
      <w:r>
        <w:rPr>
          <w:rFonts w:hAnsi="宋体"/>
          <w:sz w:val="28"/>
          <w:szCs w:val="24"/>
        </w:rPr>
        <w:t>代表化石燃料燃烧、输入能源和生产过程三种的排放源；</w:t>
      </w:r>
    </w:p>
    <w:p w14:paraId="1A53B1A0">
      <w:pPr>
        <w:pStyle w:val="19"/>
        <w:spacing w:line="360" w:lineRule="auto"/>
        <w:ind w:firstLine="560"/>
        <w:rPr>
          <w:rFonts w:hAnsi="宋体"/>
          <w:sz w:val="28"/>
          <w:szCs w:val="24"/>
        </w:rPr>
      </w:pPr>
      <m:oMath>
        <m:r>
          <m:rPr/>
          <w:rPr>
            <w:rFonts w:ascii="Cambria Math" w:hAnsi="Cambria Math"/>
            <w:sz w:val="28"/>
            <w:szCs w:val="24"/>
          </w:rPr>
          <m:t>p</m:t>
        </m:r>
      </m:oMath>
      <w:r>
        <w:rPr>
          <w:rFonts w:hint="eastAsia" w:hAnsi="宋体"/>
          <w:sz w:val="28"/>
          <w:szCs w:val="24"/>
        </w:rPr>
        <w:t xml:space="preserve">  </w:t>
      </w:r>
      <w:r>
        <w:rPr>
          <w:rFonts w:hint="eastAsia" w:hAnsi="宋体"/>
          <w:sz w:val="40"/>
          <w:szCs w:val="36"/>
        </w:rPr>
        <w:t xml:space="preserve"> </w:t>
      </w:r>
      <w:r>
        <w:rPr>
          <w:rFonts w:hint="eastAsia" w:hAnsi="宋体"/>
          <w:sz w:val="28"/>
          <w:szCs w:val="24"/>
        </w:rPr>
        <w:t xml:space="preserve"> </w:t>
      </w:r>
      <w:r>
        <w:rPr>
          <w:rFonts w:hAnsi="宋体"/>
          <w:spacing w:val="-4"/>
          <w:sz w:val="28"/>
          <w:szCs w:val="24"/>
        </w:rPr>
        <w:t>——</w:t>
      </w:r>
      <w:r>
        <w:rPr>
          <w:rFonts w:hAnsi="宋体"/>
          <w:sz w:val="28"/>
          <w:szCs w:val="24"/>
        </w:rPr>
        <w:t>代表温室气体的种类；</w:t>
      </w:r>
    </w:p>
    <w:p w14:paraId="17D1FE93">
      <w:pPr>
        <w:pStyle w:val="19"/>
        <w:spacing w:line="360" w:lineRule="auto"/>
        <w:ind w:firstLine="560"/>
        <w:rPr>
          <w:rFonts w:hAnsi="宋体"/>
          <w:sz w:val="28"/>
          <w:szCs w:val="24"/>
        </w:rPr>
      </w:pPr>
      <m:oMath>
        <m:sSub>
          <m:sSubPr>
            <m:ctrlPr>
              <w:rPr>
                <w:rFonts w:ascii="Cambria Math" w:hAnsi="Cambria Math"/>
                <w:i/>
                <w:iCs/>
                <w:sz w:val="28"/>
                <w:szCs w:val="24"/>
              </w:rPr>
            </m:ctrlPr>
          </m:sSubPr>
          <m:e>
            <m:r>
              <m:rPr/>
              <w:rPr>
                <w:rFonts w:ascii="Cambria Math" w:hAnsi="Cambria Math"/>
                <w:sz w:val="28"/>
                <w:szCs w:val="24"/>
              </w:rPr>
              <m:t>E</m:t>
            </m:r>
            <m:ctrlPr>
              <w:rPr>
                <w:rFonts w:ascii="Cambria Math" w:hAnsi="Cambria Math"/>
                <w:i/>
                <w:iCs/>
                <w:sz w:val="28"/>
                <w:szCs w:val="24"/>
              </w:rPr>
            </m:ctrlPr>
          </m:e>
          <m:sub>
            <m:r>
              <m:rPr/>
              <w:rPr>
                <w:rFonts w:ascii="Cambria Math" w:hAnsi="Cambria Math"/>
                <w:sz w:val="28"/>
                <w:szCs w:val="24"/>
              </w:rPr>
              <m:t>i,j</m:t>
            </m:r>
            <m:ctrlPr>
              <w:rPr>
                <w:rFonts w:ascii="Cambria Math" w:hAnsi="Cambria Math"/>
                <w:i/>
                <w:iCs/>
                <w:sz w:val="28"/>
                <w:szCs w:val="24"/>
              </w:rPr>
            </m:ctrlPr>
          </m:sub>
        </m:sSub>
      </m:oMath>
      <w:r>
        <w:rPr>
          <w:rFonts w:hint="eastAsia" w:hAnsi="宋体"/>
          <w:iCs/>
          <w:sz w:val="28"/>
          <w:szCs w:val="24"/>
        </w:rPr>
        <w:t xml:space="preserve">  </w:t>
      </w:r>
      <w:r>
        <w:rPr>
          <w:rFonts w:hint="eastAsia" w:hAnsi="宋体"/>
          <w:iCs/>
          <w:sz w:val="20"/>
          <w:szCs w:val="18"/>
        </w:rPr>
        <w:t xml:space="preserve"> </w:t>
      </w:r>
      <w:r>
        <w:rPr>
          <w:rFonts w:hAnsi="宋体"/>
          <w:spacing w:val="-4"/>
          <w:sz w:val="28"/>
          <w:szCs w:val="24"/>
        </w:rPr>
        <w:t>——</w:t>
      </w:r>
      <w:r>
        <w:rPr>
          <w:rFonts w:hAnsi="宋体"/>
          <w:sz w:val="28"/>
          <w:szCs w:val="24"/>
        </w:rPr>
        <w:t>单元过程</w:t>
      </w:r>
      <m:oMath>
        <m:r>
          <m:rPr/>
          <w:rPr>
            <w:rFonts w:ascii="Cambria Math" w:hAnsi="Cambria Math"/>
            <w:sz w:val="28"/>
            <w:szCs w:val="24"/>
          </w:rPr>
          <m:t>i</m:t>
        </m:r>
      </m:oMath>
      <w:r>
        <w:rPr>
          <w:rFonts w:hAnsi="宋体"/>
          <w:sz w:val="28"/>
          <w:szCs w:val="24"/>
        </w:rPr>
        <w:t>中，</w:t>
      </w:r>
      <m:oMath>
        <m:r>
          <m:rPr/>
          <w:rPr>
            <w:rFonts w:ascii="Cambria Math" w:hAnsi="Cambria Math"/>
            <w:sz w:val="28"/>
            <w:szCs w:val="24"/>
          </w:rPr>
          <m:t>j</m:t>
        </m:r>
      </m:oMath>
      <w:r>
        <w:rPr>
          <w:rFonts w:hAnsi="宋体"/>
          <w:sz w:val="28"/>
          <w:szCs w:val="24"/>
        </w:rPr>
        <w:t>类排放源的温室气体排放量（kgCO</w:t>
      </w:r>
      <w:r>
        <w:rPr>
          <w:rFonts w:hAnsi="宋体"/>
          <w:sz w:val="28"/>
          <w:szCs w:val="24"/>
          <w:vertAlign w:val="subscript"/>
        </w:rPr>
        <w:t>2</w:t>
      </w:r>
      <w:r>
        <w:rPr>
          <w:rFonts w:hAnsi="宋体"/>
          <w:sz w:val="28"/>
          <w:szCs w:val="24"/>
        </w:rPr>
        <w:t>e）；</w:t>
      </w:r>
    </w:p>
    <w:p w14:paraId="6E2010C3">
      <w:pPr>
        <w:pStyle w:val="19"/>
        <w:spacing w:line="360" w:lineRule="auto"/>
        <w:ind w:firstLine="560"/>
        <w:rPr>
          <w:rFonts w:hAnsi="宋体"/>
          <w:sz w:val="28"/>
          <w:szCs w:val="24"/>
        </w:rPr>
      </w:pPr>
      <m:oMath>
        <m:sSub>
          <m:sSubPr>
            <m:ctrlPr>
              <w:rPr>
                <w:rFonts w:ascii="Cambria Math" w:hAnsi="Cambria Math"/>
                <w:i/>
                <w:iCs/>
                <w:sz w:val="28"/>
                <w:szCs w:val="24"/>
              </w:rPr>
            </m:ctrlPr>
          </m:sSubPr>
          <m:e>
            <m:r>
              <m:rPr/>
              <w:rPr>
                <w:rFonts w:ascii="Cambria Math" w:hAnsi="Cambria Math"/>
                <w:sz w:val="28"/>
                <w:szCs w:val="24"/>
              </w:rPr>
              <m:t>AD</m:t>
            </m:r>
            <m:ctrlPr>
              <w:rPr>
                <w:rFonts w:ascii="Cambria Math" w:hAnsi="Cambria Math"/>
                <w:i/>
                <w:iCs/>
                <w:sz w:val="28"/>
                <w:szCs w:val="24"/>
              </w:rPr>
            </m:ctrlPr>
          </m:e>
          <m:sub>
            <m:r>
              <m:rPr/>
              <w:rPr>
                <w:rFonts w:ascii="Cambria Math" w:hAnsi="Cambria Math"/>
                <w:sz w:val="28"/>
                <w:szCs w:val="24"/>
              </w:rPr>
              <m:t>i,j,p</m:t>
            </m:r>
            <m:ctrlPr>
              <w:rPr>
                <w:rFonts w:ascii="Cambria Math" w:hAnsi="Cambria Math"/>
                <w:i/>
                <w:iCs/>
                <w:sz w:val="28"/>
                <w:szCs w:val="24"/>
              </w:rPr>
            </m:ctrlPr>
          </m:sub>
        </m:sSub>
      </m:oMath>
      <w:r>
        <w:rPr>
          <w:rFonts w:hAnsi="宋体"/>
          <w:spacing w:val="-4"/>
          <w:sz w:val="28"/>
          <w:szCs w:val="24"/>
        </w:rPr>
        <w:t>——</w:t>
      </w:r>
      <w:r>
        <w:rPr>
          <w:rFonts w:hAnsi="宋体"/>
          <w:sz w:val="28"/>
          <w:szCs w:val="24"/>
        </w:rPr>
        <w:t>单元过程</w:t>
      </w:r>
      <m:oMath>
        <m:r>
          <m:rPr/>
          <w:rPr>
            <w:rFonts w:ascii="Cambria Math" w:hAnsi="Cambria Math"/>
            <w:sz w:val="28"/>
            <w:szCs w:val="24"/>
          </w:rPr>
          <m:t>i</m:t>
        </m:r>
      </m:oMath>
      <w:r>
        <w:rPr>
          <w:rFonts w:hAnsi="宋体"/>
          <w:sz w:val="28"/>
          <w:szCs w:val="24"/>
        </w:rPr>
        <w:t>中，</w:t>
      </w:r>
      <m:oMath>
        <m:r>
          <m:rPr/>
          <w:rPr>
            <w:rFonts w:ascii="Cambria Math" w:hAnsi="Cambria Math"/>
            <w:sz w:val="28"/>
            <w:szCs w:val="24"/>
          </w:rPr>
          <m:t>j</m:t>
        </m:r>
      </m:oMath>
      <w:r>
        <w:rPr>
          <w:rFonts w:hAnsi="宋体"/>
          <w:sz w:val="28"/>
          <w:szCs w:val="24"/>
        </w:rPr>
        <w:t>类排放源</w:t>
      </w:r>
      <m:oMath>
        <m:r>
          <m:rPr/>
          <w:rPr>
            <w:rFonts w:ascii="Cambria Math" w:hAnsi="Cambria Math"/>
            <w:sz w:val="28"/>
            <w:szCs w:val="24"/>
          </w:rPr>
          <m:t>p</m:t>
        </m:r>
      </m:oMath>
      <w:r>
        <w:rPr>
          <w:rFonts w:hAnsi="宋体"/>
          <w:sz w:val="28"/>
          <w:szCs w:val="24"/>
        </w:rPr>
        <w:t>种温室气体的活动水平数据；</w:t>
      </w:r>
    </w:p>
    <w:p w14:paraId="5F2FEDFE">
      <w:pPr>
        <w:pStyle w:val="19"/>
        <w:spacing w:line="360" w:lineRule="auto"/>
        <w:ind w:firstLine="560"/>
        <w:rPr>
          <w:rFonts w:hAnsi="宋体"/>
          <w:sz w:val="28"/>
          <w:szCs w:val="24"/>
        </w:rPr>
      </w:pPr>
      <m:oMath>
        <m:sSub>
          <m:sSubPr>
            <m:ctrlPr>
              <w:rPr>
                <w:rFonts w:ascii="Cambria Math" w:hAnsi="Cambria Math"/>
                <w:i/>
                <w:iCs/>
                <w:sz w:val="28"/>
                <w:szCs w:val="24"/>
              </w:rPr>
            </m:ctrlPr>
          </m:sSubPr>
          <m:e>
            <m:r>
              <m:rPr/>
              <w:rPr>
                <w:rFonts w:ascii="Cambria Math" w:hAnsi="Cambria Math"/>
                <w:sz w:val="28"/>
                <w:szCs w:val="24"/>
              </w:rPr>
              <m:t>EF</m:t>
            </m:r>
            <m:ctrlPr>
              <w:rPr>
                <w:rFonts w:ascii="Cambria Math" w:hAnsi="Cambria Math"/>
                <w:i/>
                <w:iCs/>
                <w:sz w:val="28"/>
                <w:szCs w:val="24"/>
              </w:rPr>
            </m:ctrlPr>
          </m:e>
          <m:sub>
            <m:r>
              <m:rPr/>
              <w:rPr>
                <w:rFonts w:ascii="Cambria Math" w:hAnsi="Cambria Math"/>
                <w:sz w:val="28"/>
                <w:szCs w:val="24"/>
              </w:rPr>
              <m:t>i,j,p</m:t>
            </m:r>
            <m:ctrlPr>
              <w:rPr>
                <w:rFonts w:ascii="Cambria Math" w:hAnsi="Cambria Math"/>
                <w:i/>
                <w:iCs/>
                <w:sz w:val="28"/>
                <w:szCs w:val="24"/>
              </w:rPr>
            </m:ctrlPr>
          </m:sub>
        </m:sSub>
      </m:oMath>
      <w:r>
        <w:rPr>
          <w:rFonts w:hAnsi="宋体"/>
          <w:spacing w:val="-4"/>
          <w:sz w:val="28"/>
          <w:szCs w:val="24"/>
        </w:rPr>
        <w:t>——</w:t>
      </w:r>
      <w:r>
        <w:rPr>
          <w:rFonts w:hAnsi="宋体"/>
          <w:sz w:val="28"/>
          <w:szCs w:val="24"/>
        </w:rPr>
        <w:t>单元过程</w:t>
      </w:r>
      <m:oMath>
        <m:r>
          <m:rPr/>
          <w:rPr>
            <w:rFonts w:ascii="Cambria Math" w:hAnsi="Cambria Math"/>
            <w:sz w:val="28"/>
            <w:szCs w:val="24"/>
          </w:rPr>
          <m:t>i</m:t>
        </m:r>
      </m:oMath>
      <w:r>
        <w:rPr>
          <w:rFonts w:hAnsi="宋体"/>
          <w:sz w:val="28"/>
          <w:szCs w:val="24"/>
        </w:rPr>
        <w:t>中，</w:t>
      </w:r>
      <m:oMath>
        <m:r>
          <m:rPr/>
          <w:rPr>
            <w:rFonts w:ascii="Cambria Math" w:hAnsi="Cambria Math"/>
            <w:sz w:val="28"/>
            <w:szCs w:val="24"/>
          </w:rPr>
          <m:t>j</m:t>
        </m:r>
      </m:oMath>
      <w:r>
        <w:rPr>
          <w:rFonts w:hAnsi="宋体"/>
          <w:sz w:val="28"/>
          <w:szCs w:val="24"/>
        </w:rPr>
        <w:t>类排放源</w:t>
      </w:r>
      <m:oMath>
        <m:r>
          <m:rPr/>
          <w:rPr>
            <w:rFonts w:ascii="Cambria Math" w:hAnsi="Cambria Math"/>
            <w:sz w:val="28"/>
            <w:szCs w:val="24"/>
          </w:rPr>
          <m:t>p</m:t>
        </m:r>
      </m:oMath>
      <w:r>
        <w:rPr>
          <w:rFonts w:hAnsi="宋体"/>
          <w:sz w:val="28"/>
          <w:szCs w:val="24"/>
        </w:rPr>
        <w:t>种温室气体的排放因子，其中使用的电力排放因子应为电力生命周期碳足迹因子；</w:t>
      </w:r>
    </w:p>
    <w:p w14:paraId="4CCA0B81">
      <w:pPr>
        <w:pStyle w:val="34"/>
        <w:spacing w:line="360" w:lineRule="auto"/>
        <w:ind w:firstLine="560"/>
        <w:rPr>
          <w:rFonts w:hAnsi="宋体"/>
          <w:sz w:val="28"/>
          <w:szCs w:val="24"/>
        </w:rPr>
      </w:pPr>
      <m:oMath>
        <m:sSub>
          <m:sSubPr>
            <m:ctrlPr>
              <w:rPr>
                <w:rFonts w:ascii="Cambria Math" w:hAnsi="Cambria Math"/>
                <w:i/>
                <w:iCs/>
                <w:sz w:val="28"/>
                <w:szCs w:val="24"/>
              </w:rPr>
            </m:ctrlPr>
          </m:sSubPr>
          <m:e>
            <m:r>
              <m:rPr/>
              <w:rPr>
                <w:rFonts w:ascii="Cambria Math" w:hAnsi="Cambria Math"/>
                <w:sz w:val="28"/>
                <w:szCs w:val="24"/>
              </w:rPr>
              <m:t>GWP</m:t>
            </m:r>
            <m:ctrlPr>
              <w:rPr>
                <w:rFonts w:ascii="Cambria Math" w:hAnsi="Cambria Math"/>
                <w:i/>
                <w:iCs/>
                <w:sz w:val="28"/>
                <w:szCs w:val="24"/>
              </w:rPr>
            </m:ctrlPr>
          </m:e>
          <m:sub>
            <m:r>
              <m:rPr/>
              <w:rPr>
                <w:rFonts w:ascii="Cambria Math" w:hAnsi="Cambria Math"/>
                <w:sz w:val="28"/>
                <w:szCs w:val="24"/>
              </w:rPr>
              <m:t>p</m:t>
            </m:r>
            <m:ctrlPr>
              <w:rPr>
                <w:rFonts w:ascii="Cambria Math" w:hAnsi="Cambria Math"/>
                <w:i/>
                <w:iCs/>
                <w:sz w:val="28"/>
                <w:szCs w:val="24"/>
              </w:rPr>
            </m:ctrlPr>
          </m:sub>
        </m:sSub>
      </m:oMath>
      <w:r>
        <w:rPr>
          <w:rFonts w:hAnsi="宋体"/>
          <w:spacing w:val="-4"/>
          <w:sz w:val="28"/>
          <w:szCs w:val="24"/>
        </w:rPr>
        <w:t>——</w:t>
      </w:r>
      <w:r>
        <w:rPr>
          <w:rFonts w:hAnsi="宋体"/>
          <w:sz w:val="28"/>
          <w:szCs w:val="24"/>
        </w:rPr>
        <w:t>第</w:t>
      </w:r>
      <m:oMath>
        <m:r>
          <m:rPr/>
          <w:rPr>
            <w:rFonts w:ascii="Cambria Math" w:hAnsi="Cambria Math"/>
            <w:sz w:val="28"/>
            <w:szCs w:val="24"/>
          </w:rPr>
          <m:t>p</m:t>
        </m:r>
      </m:oMath>
      <w:r>
        <w:rPr>
          <w:rFonts w:hAnsi="宋体"/>
          <w:sz w:val="28"/>
          <w:szCs w:val="24"/>
        </w:rPr>
        <w:t>种</w:t>
      </w:r>
      <w:r>
        <w:rPr>
          <w:rFonts w:hint="eastAsia" w:hAnsi="宋体"/>
          <w:sz w:val="28"/>
          <w:szCs w:val="24"/>
        </w:rPr>
        <w:t>温室气体</w:t>
      </w:r>
      <w:r>
        <w:rPr>
          <w:rFonts w:hAnsi="宋体"/>
          <w:sz w:val="28"/>
          <w:szCs w:val="24"/>
        </w:rPr>
        <w:t>活动对应的全球</w:t>
      </w:r>
      <w:r>
        <w:rPr>
          <w:rFonts w:hint="eastAsia" w:hAnsi="宋体"/>
          <w:sz w:val="28"/>
          <w:szCs w:val="24"/>
        </w:rPr>
        <w:t>变暖</w:t>
      </w:r>
      <w:r>
        <w:rPr>
          <w:rFonts w:hAnsi="宋体"/>
          <w:sz w:val="28"/>
          <w:szCs w:val="24"/>
        </w:rPr>
        <w:t>潜势值，需使用IPCC最新发布的气候评估报告（Assessment Report，AR）中的GWP值。</w:t>
      </w:r>
    </w:p>
    <w:p w14:paraId="7E2832B8">
      <w:pPr>
        <w:pStyle w:val="47"/>
        <w:spacing w:before="0" w:beforeLines="0" w:after="0" w:afterLines="0" w:line="360" w:lineRule="auto"/>
        <w:outlineLvl w:val="9"/>
        <w:rPr>
          <w:rFonts w:ascii="宋体" w:hAnsi="宋体" w:eastAsia="宋体"/>
          <w:sz w:val="28"/>
          <w:szCs w:val="24"/>
        </w:rPr>
      </w:pPr>
      <w:bookmarkStart w:id="43" w:name="_Toc174539315"/>
      <w:bookmarkStart w:id="44" w:name="_Toc179621233"/>
      <w:bookmarkStart w:id="45" w:name="_Toc166860771"/>
      <w:bookmarkStart w:id="46" w:name="_Toc212021800"/>
      <w:bookmarkStart w:id="47" w:name="_Toc212018404"/>
      <w:bookmarkStart w:id="48" w:name="_Toc166588530"/>
      <w:bookmarkStart w:id="49" w:name="_Toc167375535"/>
      <w:bookmarkStart w:id="50" w:name="_Toc174539489"/>
      <w:bookmarkStart w:id="51" w:name="_Toc167806927"/>
      <w:bookmarkStart w:id="52" w:name="_Toc166588520"/>
      <w:bookmarkStart w:id="53" w:name="_Toc173923033"/>
      <w:bookmarkStart w:id="54" w:name="_Toc167804178"/>
      <w:r>
        <w:rPr>
          <w:rFonts w:ascii="宋体" w:hAnsi="宋体" w:eastAsia="宋体"/>
          <w:sz w:val="28"/>
          <w:szCs w:val="24"/>
        </w:rPr>
        <w:t>评价报告</w:t>
      </w:r>
      <w:bookmarkEnd w:id="43"/>
      <w:bookmarkEnd w:id="44"/>
      <w:bookmarkEnd w:id="45"/>
      <w:bookmarkEnd w:id="46"/>
      <w:bookmarkEnd w:id="47"/>
      <w:bookmarkEnd w:id="48"/>
      <w:bookmarkEnd w:id="49"/>
      <w:bookmarkEnd w:id="50"/>
      <w:bookmarkEnd w:id="51"/>
      <w:bookmarkEnd w:id="52"/>
      <w:bookmarkEnd w:id="53"/>
      <w:bookmarkEnd w:id="54"/>
    </w:p>
    <w:p w14:paraId="672EBB65">
      <w:pPr>
        <w:pStyle w:val="48"/>
        <w:spacing w:before="0" w:beforeLines="0" w:after="0" w:afterLines="0" w:line="360" w:lineRule="auto"/>
        <w:outlineLvl w:val="9"/>
        <w:rPr>
          <w:rFonts w:ascii="宋体" w:hAnsi="宋体" w:eastAsia="宋体"/>
          <w:sz w:val="28"/>
          <w:szCs w:val="24"/>
        </w:rPr>
      </w:pPr>
      <w:r>
        <w:rPr>
          <w:rFonts w:ascii="宋体" w:hAnsi="宋体" w:eastAsia="宋体"/>
          <w:sz w:val="28"/>
          <w:szCs w:val="24"/>
        </w:rPr>
        <w:t>基本情况</w:t>
      </w:r>
    </w:p>
    <w:p w14:paraId="06D809F5">
      <w:pPr>
        <w:pStyle w:val="34"/>
        <w:spacing w:line="360" w:lineRule="auto"/>
        <w:ind w:firstLine="560"/>
        <w:rPr>
          <w:rFonts w:hAnsi="宋体"/>
          <w:sz w:val="28"/>
          <w:szCs w:val="24"/>
        </w:rPr>
      </w:pPr>
      <w:r>
        <w:rPr>
          <w:rFonts w:hAnsi="宋体"/>
          <w:sz w:val="28"/>
          <w:szCs w:val="24"/>
        </w:rPr>
        <w:t>基本情况应包括但不限于产品名称、产品介绍、功能单位等。</w:t>
      </w:r>
    </w:p>
    <w:p w14:paraId="29029D93">
      <w:pPr>
        <w:pStyle w:val="48"/>
        <w:spacing w:before="0" w:beforeLines="0" w:after="0" w:afterLines="0" w:line="360" w:lineRule="auto"/>
        <w:outlineLvl w:val="9"/>
        <w:rPr>
          <w:rFonts w:ascii="宋体" w:hAnsi="宋体" w:eastAsia="宋体"/>
          <w:sz w:val="28"/>
          <w:szCs w:val="24"/>
        </w:rPr>
      </w:pPr>
      <w:r>
        <w:rPr>
          <w:rFonts w:ascii="宋体" w:hAnsi="宋体" w:eastAsia="宋体"/>
          <w:sz w:val="28"/>
          <w:szCs w:val="24"/>
        </w:rPr>
        <w:t>系统边界</w:t>
      </w:r>
    </w:p>
    <w:p w14:paraId="6463D243">
      <w:pPr>
        <w:pStyle w:val="34"/>
        <w:spacing w:line="360" w:lineRule="auto"/>
        <w:ind w:firstLine="560"/>
        <w:rPr>
          <w:rFonts w:hAnsi="宋体"/>
          <w:sz w:val="28"/>
          <w:szCs w:val="24"/>
        </w:rPr>
      </w:pPr>
      <w:r>
        <w:rPr>
          <w:rFonts w:hAnsi="宋体"/>
          <w:sz w:val="28"/>
          <w:szCs w:val="24"/>
        </w:rPr>
        <w:t>系统边界应包括但不限于产品生命周期阶段定义、时间周期、地理范围</w:t>
      </w:r>
      <w:r>
        <w:rPr>
          <w:rFonts w:hint="eastAsia" w:hAnsi="宋体"/>
          <w:sz w:val="28"/>
          <w:szCs w:val="24"/>
        </w:rPr>
        <w:t>、</w:t>
      </w:r>
      <w:r>
        <w:rPr>
          <w:rFonts w:hAnsi="宋体"/>
          <w:sz w:val="28"/>
          <w:szCs w:val="24"/>
        </w:rPr>
        <w:t>排放源类型、排放源排除等。</w:t>
      </w:r>
    </w:p>
    <w:p w14:paraId="64864794">
      <w:pPr>
        <w:pStyle w:val="48"/>
        <w:spacing w:before="0" w:beforeLines="0" w:after="0" w:afterLines="0" w:line="360" w:lineRule="auto"/>
        <w:outlineLvl w:val="9"/>
        <w:rPr>
          <w:rFonts w:ascii="宋体" w:hAnsi="宋体" w:eastAsia="宋体"/>
          <w:sz w:val="28"/>
          <w:szCs w:val="24"/>
        </w:rPr>
      </w:pPr>
      <w:r>
        <w:rPr>
          <w:rFonts w:ascii="宋体" w:hAnsi="宋体" w:eastAsia="宋体"/>
          <w:sz w:val="28"/>
          <w:szCs w:val="24"/>
        </w:rPr>
        <w:t>计算方法</w:t>
      </w:r>
    </w:p>
    <w:p w14:paraId="0E74E08B">
      <w:pPr>
        <w:pStyle w:val="34"/>
        <w:spacing w:line="360" w:lineRule="auto"/>
        <w:ind w:firstLine="560"/>
        <w:rPr>
          <w:rFonts w:hAnsi="宋体"/>
          <w:sz w:val="28"/>
          <w:szCs w:val="24"/>
        </w:rPr>
      </w:pPr>
      <w:r>
        <w:rPr>
          <w:rFonts w:hAnsi="宋体"/>
          <w:sz w:val="28"/>
          <w:szCs w:val="24"/>
        </w:rPr>
        <w:t>计算方法应包括但不限于各排放源排放计算公式如化石燃料燃烧、电力得排放计算公式等。</w:t>
      </w:r>
    </w:p>
    <w:p w14:paraId="34D6FDED">
      <w:pPr>
        <w:pStyle w:val="48"/>
        <w:spacing w:before="0" w:beforeLines="0" w:after="0" w:afterLines="0" w:line="360" w:lineRule="auto"/>
        <w:outlineLvl w:val="9"/>
        <w:rPr>
          <w:rFonts w:ascii="宋体" w:hAnsi="宋体" w:eastAsia="宋体"/>
          <w:sz w:val="28"/>
          <w:szCs w:val="24"/>
        </w:rPr>
      </w:pPr>
      <w:r>
        <w:rPr>
          <w:rFonts w:ascii="宋体" w:hAnsi="宋体" w:eastAsia="宋体"/>
          <w:sz w:val="28"/>
          <w:szCs w:val="24"/>
        </w:rPr>
        <w:t>产品碳足迹核算</w:t>
      </w:r>
    </w:p>
    <w:p w14:paraId="36D8473D">
      <w:pPr>
        <w:pStyle w:val="34"/>
        <w:spacing w:line="360" w:lineRule="auto"/>
        <w:ind w:firstLine="560"/>
        <w:rPr>
          <w:rFonts w:hAnsi="宋体"/>
          <w:sz w:val="28"/>
          <w:szCs w:val="24"/>
        </w:rPr>
      </w:pPr>
      <w:r>
        <w:rPr>
          <w:rFonts w:hAnsi="宋体"/>
          <w:sz w:val="28"/>
          <w:szCs w:val="24"/>
        </w:rPr>
        <w:t>产品碳足迹核算应包括但不限于各阶段排放源计算程序、活动数据收集及排放系数来源说明、产品生命周期碳足迹结果及说明等内容。</w:t>
      </w:r>
    </w:p>
    <w:p w14:paraId="2231B658">
      <w:pPr>
        <w:pStyle w:val="48"/>
        <w:spacing w:before="0" w:beforeLines="0" w:after="0" w:afterLines="0" w:line="360" w:lineRule="auto"/>
        <w:outlineLvl w:val="9"/>
        <w:rPr>
          <w:rFonts w:ascii="宋体" w:hAnsi="宋体" w:eastAsia="宋体"/>
          <w:sz w:val="28"/>
          <w:szCs w:val="24"/>
        </w:rPr>
      </w:pPr>
      <w:r>
        <w:rPr>
          <w:rFonts w:ascii="宋体" w:hAnsi="宋体" w:eastAsia="宋体"/>
          <w:sz w:val="28"/>
          <w:szCs w:val="24"/>
        </w:rPr>
        <w:t>报告管理和保存</w:t>
      </w:r>
    </w:p>
    <w:p w14:paraId="682D16DF">
      <w:pPr>
        <w:pStyle w:val="34"/>
        <w:spacing w:line="360" w:lineRule="auto"/>
        <w:ind w:firstLine="560"/>
        <w:rPr>
          <w:rFonts w:hAnsi="宋体"/>
          <w:sz w:val="28"/>
          <w:szCs w:val="24"/>
        </w:rPr>
      </w:pPr>
      <w:r>
        <w:rPr>
          <w:rFonts w:hAnsi="宋体"/>
          <w:sz w:val="28"/>
          <w:szCs w:val="24"/>
        </w:rPr>
        <w:t>可对报告的使用、管理保存方法、有效期、保密性等进行说明。</w:t>
      </w:r>
    </w:p>
    <w:p w14:paraId="24D35F1A">
      <w:pPr>
        <w:pStyle w:val="48"/>
        <w:spacing w:before="0" w:beforeLines="0" w:after="0" w:afterLines="0" w:line="360" w:lineRule="auto"/>
        <w:outlineLvl w:val="9"/>
        <w:rPr>
          <w:rFonts w:ascii="宋体" w:hAnsi="宋体" w:eastAsia="宋体"/>
          <w:sz w:val="28"/>
          <w:szCs w:val="24"/>
        </w:rPr>
      </w:pPr>
      <w:r>
        <w:rPr>
          <w:rFonts w:ascii="宋体" w:hAnsi="宋体" w:eastAsia="宋体"/>
          <w:sz w:val="28"/>
          <w:szCs w:val="24"/>
        </w:rPr>
        <w:t>参考文献</w:t>
      </w:r>
    </w:p>
    <w:p w14:paraId="5BF4261C">
      <w:pPr>
        <w:pStyle w:val="34"/>
        <w:spacing w:line="360" w:lineRule="auto"/>
        <w:ind w:firstLine="560"/>
        <w:rPr>
          <w:rFonts w:hAnsi="宋体"/>
          <w:sz w:val="28"/>
          <w:szCs w:val="24"/>
        </w:rPr>
      </w:pPr>
      <w:r>
        <w:rPr>
          <w:rFonts w:hAnsi="宋体"/>
          <w:sz w:val="28"/>
          <w:szCs w:val="24"/>
        </w:rPr>
        <w:t>报告可涉及到的所有参考文献说明。</w:t>
      </w:r>
    </w:p>
    <w:p w14:paraId="4066ECD1">
      <w:pPr>
        <w:pStyle w:val="48"/>
        <w:spacing w:before="0" w:beforeLines="0" w:after="0" w:afterLines="0" w:line="360" w:lineRule="auto"/>
        <w:outlineLvl w:val="9"/>
        <w:rPr>
          <w:rFonts w:ascii="宋体" w:hAnsi="宋体" w:eastAsia="宋体"/>
          <w:sz w:val="28"/>
          <w:szCs w:val="24"/>
        </w:rPr>
      </w:pPr>
      <w:r>
        <w:rPr>
          <w:rFonts w:ascii="宋体" w:hAnsi="宋体" w:eastAsia="宋体"/>
          <w:sz w:val="28"/>
          <w:szCs w:val="24"/>
        </w:rPr>
        <w:t>支持性文献</w:t>
      </w:r>
    </w:p>
    <w:p w14:paraId="4797F64D">
      <w:pPr>
        <w:pStyle w:val="34"/>
        <w:spacing w:line="360" w:lineRule="auto"/>
        <w:ind w:firstLine="560"/>
        <w:rPr>
          <w:rFonts w:hAnsi="宋体"/>
          <w:sz w:val="28"/>
          <w:szCs w:val="24"/>
        </w:rPr>
      </w:pPr>
      <w:r>
        <w:rPr>
          <w:rFonts w:hAnsi="宋体"/>
          <w:sz w:val="28"/>
          <w:szCs w:val="24"/>
        </w:rPr>
        <w:t>报告可涉及的相关支持材料清单及附件。</w:t>
      </w:r>
    </w:p>
    <w:p w14:paraId="2BD0C2CA">
      <w:pPr>
        <w:pStyle w:val="48"/>
        <w:spacing w:before="0" w:beforeLines="0" w:after="0" w:afterLines="0" w:line="360" w:lineRule="auto"/>
        <w:outlineLvl w:val="9"/>
        <w:rPr>
          <w:rFonts w:ascii="宋体" w:hAnsi="宋体" w:eastAsia="宋体"/>
          <w:sz w:val="28"/>
          <w:szCs w:val="24"/>
        </w:rPr>
      </w:pPr>
      <w:r>
        <w:rPr>
          <w:rFonts w:ascii="宋体" w:hAnsi="宋体" w:eastAsia="宋体"/>
          <w:sz w:val="28"/>
          <w:szCs w:val="24"/>
        </w:rPr>
        <w:t>保密性</w:t>
      </w:r>
    </w:p>
    <w:p w14:paraId="02CD788F">
      <w:pPr>
        <w:pStyle w:val="34"/>
        <w:spacing w:line="360" w:lineRule="auto"/>
        <w:ind w:firstLine="560"/>
        <w:rPr>
          <w:rFonts w:hAnsi="宋体"/>
          <w:sz w:val="28"/>
          <w:szCs w:val="24"/>
        </w:rPr>
      </w:pPr>
      <w:r>
        <w:rPr>
          <w:rFonts w:hint="eastAsia" w:hAnsi="宋体"/>
          <w:sz w:val="28"/>
          <w:szCs w:val="24"/>
        </w:rPr>
        <w:t>用于核算碳足迹的资料，可能会包含生产者生产活动的机密信息。各利益相关方所提供的信息具有被保护的权力，因此，利益相关方应商定适宜法律工具以确保相互之间交流信息的保密性。</w:t>
      </w:r>
    </w:p>
    <w:p w14:paraId="1F96A9C4">
      <w:pPr>
        <w:pStyle w:val="34"/>
        <w:spacing w:line="360" w:lineRule="auto"/>
        <w:ind w:firstLine="560"/>
        <w:rPr>
          <w:rFonts w:hAnsi="宋体"/>
          <w:sz w:val="28"/>
          <w:szCs w:val="24"/>
        </w:rPr>
        <w:sectPr>
          <w:pgSz w:w="11906" w:h="16838"/>
          <w:pgMar w:top="1928" w:right="1134" w:bottom="1134" w:left="1134" w:header="1418" w:footer="1134" w:gutter="284"/>
          <w:pgNumType w:start="1"/>
          <w:cols w:space="425" w:num="1"/>
          <w:formProt w:val="0"/>
          <w:docGrid w:linePitch="312" w:charSpace="0"/>
        </w:sectPr>
      </w:pPr>
    </w:p>
    <w:p w14:paraId="71FB974C">
      <w:pPr>
        <w:pStyle w:val="60"/>
        <w:tabs>
          <w:tab w:val="clear" w:pos="360"/>
        </w:tabs>
        <w:spacing w:line="360" w:lineRule="auto"/>
        <w:ind w:left="420"/>
        <w:rPr>
          <w:rFonts w:hint="eastAsia" w:ascii="宋体" w:hAnsi="宋体" w:eastAsia="宋体"/>
          <w:vanish w:val="0"/>
          <w:sz w:val="10"/>
          <w:szCs w:val="28"/>
        </w:rPr>
      </w:pPr>
      <w:bookmarkStart w:id="55" w:name="BookMark5"/>
    </w:p>
    <w:p w14:paraId="5BE8404F">
      <w:pPr>
        <w:pStyle w:val="61"/>
        <w:tabs>
          <w:tab w:val="clear" w:pos="360"/>
        </w:tabs>
        <w:spacing w:line="360" w:lineRule="auto"/>
        <w:ind w:left="425"/>
        <w:rPr>
          <w:rFonts w:hAnsi="宋体" w:eastAsia="宋体"/>
          <w:vanish w:val="0"/>
          <w:sz w:val="10"/>
          <w:szCs w:val="24"/>
        </w:rPr>
      </w:pPr>
    </w:p>
    <w:p w14:paraId="77F800B8">
      <w:pPr>
        <w:pStyle w:val="36"/>
        <w:spacing w:before="0" w:after="0" w:afterLines="0" w:line="360" w:lineRule="auto"/>
        <w:outlineLvl w:val="9"/>
        <w:rPr>
          <w:rFonts w:ascii="宋体" w:hAnsi="宋体" w:eastAsia="宋体"/>
          <w:sz w:val="28"/>
          <w:szCs w:val="24"/>
        </w:rPr>
      </w:pPr>
      <w:r>
        <w:rPr>
          <w:rFonts w:ascii="宋体" w:hAnsi="宋体" w:eastAsia="宋体"/>
          <w:sz w:val="28"/>
          <w:szCs w:val="24"/>
        </w:rPr>
        <w:br w:type="textWrapping"/>
      </w:r>
      <w:bookmarkStart w:id="56" w:name="_Toc212021801"/>
      <w:bookmarkStart w:id="57" w:name="_Toc212018405"/>
      <w:r>
        <w:rPr>
          <w:rFonts w:hint="eastAsia" w:ascii="宋体" w:hAnsi="宋体" w:eastAsia="宋体"/>
          <w:sz w:val="28"/>
          <w:szCs w:val="24"/>
        </w:rPr>
        <w:t>（资料性）</w:t>
      </w:r>
      <w:r>
        <w:rPr>
          <w:rFonts w:ascii="宋体" w:hAnsi="宋体" w:eastAsia="宋体"/>
          <w:sz w:val="28"/>
          <w:szCs w:val="24"/>
        </w:rPr>
        <w:br w:type="textWrapping"/>
      </w:r>
      <w:r>
        <w:rPr>
          <w:rFonts w:hint="eastAsia" w:ascii="宋体" w:hAnsi="宋体" w:eastAsia="宋体"/>
          <w:sz w:val="28"/>
          <w:szCs w:val="24"/>
        </w:rPr>
        <w:t>产品碳足迹评价报告</w:t>
      </w:r>
      <w:bookmarkEnd w:id="56"/>
      <w:bookmarkEnd w:id="57"/>
    </w:p>
    <w:p w14:paraId="004093E0">
      <w:pPr>
        <w:pStyle w:val="34"/>
        <w:spacing w:line="360" w:lineRule="auto"/>
        <w:ind w:firstLine="560"/>
        <w:rPr>
          <w:rFonts w:hAnsi="宋体"/>
          <w:sz w:val="28"/>
          <w:szCs w:val="24"/>
        </w:rPr>
      </w:pPr>
      <w:r>
        <w:rPr>
          <w:rFonts w:hint="eastAsia" w:hAnsi="宋体"/>
          <w:sz w:val="28"/>
          <w:szCs w:val="24"/>
        </w:rPr>
        <w:t>产品碳足迹评价报告模板见表A</w:t>
      </w:r>
      <w:r>
        <w:rPr>
          <w:rFonts w:hAnsi="宋体"/>
          <w:sz w:val="28"/>
          <w:szCs w:val="24"/>
        </w:rPr>
        <w:t>.1</w:t>
      </w:r>
      <w:r>
        <w:rPr>
          <w:rFonts w:hint="eastAsia" w:hAnsi="宋体"/>
          <w:sz w:val="28"/>
          <w:szCs w:val="24"/>
        </w:rPr>
        <w:t>。</w:t>
      </w:r>
    </w:p>
    <w:p w14:paraId="4875A3C2">
      <w:pPr>
        <w:pStyle w:val="37"/>
        <w:spacing w:before="0" w:beforeLines="0" w:after="0" w:afterLines="0" w:line="360" w:lineRule="auto"/>
        <w:rPr>
          <w:rFonts w:ascii="宋体" w:hAnsi="宋体" w:eastAsia="宋体"/>
          <w:sz w:val="28"/>
          <w:szCs w:val="24"/>
        </w:rPr>
      </w:pPr>
      <w:r>
        <w:rPr>
          <w:rFonts w:hint="eastAsia" w:ascii="宋体" w:hAnsi="宋体" w:eastAsia="宋体"/>
          <w:sz w:val="28"/>
          <w:szCs w:val="24"/>
        </w:rPr>
        <w:t>产品碳足迹评价报告</w:t>
      </w:r>
    </w:p>
    <w:tbl>
      <w:tblPr>
        <w:tblStyle w:val="1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265"/>
        <w:gridCol w:w="1265"/>
        <w:gridCol w:w="1224"/>
        <w:gridCol w:w="1265"/>
        <w:gridCol w:w="1225"/>
        <w:gridCol w:w="1241"/>
        <w:gridCol w:w="1226"/>
      </w:tblGrid>
      <w:tr w14:paraId="0E09CF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jc w:val="center"/>
        </w:trPr>
        <w:tc>
          <w:tcPr>
            <w:tcW w:w="9334" w:type="dxa"/>
            <w:gridSpan w:val="7"/>
            <w:tcBorders>
              <w:top w:val="single" w:color="auto" w:sz="8" w:space="0"/>
              <w:bottom w:val="single" w:color="auto" w:sz="8" w:space="0"/>
            </w:tcBorders>
          </w:tcPr>
          <w:p w14:paraId="641829D5">
            <w:pPr>
              <w:pStyle w:val="55"/>
              <w:spacing w:line="360" w:lineRule="auto"/>
              <w:rPr>
                <w:rFonts w:hAnsi="宋体"/>
                <w:sz w:val="22"/>
                <w:szCs w:val="24"/>
              </w:rPr>
            </w:pPr>
            <w:r>
              <w:rPr>
                <w:rFonts w:hAnsi="宋体"/>
                <w:sz w:val="22"/>
                <w:szCs w:val="24"/>
              </w:rPr>
              <w:t>产品碳足迹评价报告</w:t>
            </w:r>
          </w:p>
        </w:tc>
      </w:tr>
      <w:tr w14:paraId="671466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jc w:val="center"/>
        </w:trPr>
        <w:tc>
          <w:tcPr>
            <w:tcW w:w="1349" w:type="dxa"/>
            <w:vMerge w:val="restart"/>
            <w:tcBorders>
              <w:top w:val="single" w:color="auto" w:sz="8" w:space="0"/>
            </w:tcBorders>
            <w:vAlign w:val="center"/>
          </w:tcPr>
          <w:p w14:paraId="295FF821">
            <w:pPr>
              <w:pStyle w:val="55"/>
              <w:spacing w:line="360" w:lineRule="auto"/>
              <w:rPr>
                <w:rFonts w:hAnsi="宋体"/>
                <w:sz w:val="22"/>
                <w:szCs w:val="24"/>
              </w:rPr>
            </w:pPr>
            <w:r>
              <w:rPr>
                <w:rFonts w:hAnsi="宋体"/>
                <w:sz w:val="22"/>
                <w:szCs w:val="24"/>
              </w:rPr>
              <w:t>申请方</w:t>
            </w:r>
          </w:p>
        </w:tc>
        <w:tc>
          <w:tcPr>
            <w:tcW w:w="1349" w:type="dxa"/>
            <w:tcBorders>
              <w:top w:val="single" w:color="auto" w:sz="8" w:space="0"/>
            </w:tcBorders>
            <w:vAlign w:val="center"/>
          </w:tcPr>
          <w:p w14:paraId="61BEE0D4">
            <w:pPr>
              <w:pStyle w:val="55"/>
              <w:spacing w:line="360" w:lineRule="auto"/>
              <w:rPr>
                <w:rFonts w:hAnsi="宋体"/>
                <w:sz w:val="22"/>
                <w:szCs w:val="24"/>
              </w:rPr>
            </w:pPr>
            <w:r>
              <w:rPr>
                <w:rFonts w:hAnsi="宋体"/>
                <w:sz w:val="22"/>
                <w:szCs w:val="24"/>
              </w:rPr>
              <w:t>名称</w:t>
            </w:r>
          </w:p>
        </w:tc>
        <w:tc>
          <w:tcPr>
            <w:tcW w:w="6636" w:type="dxa"/>
            <w:gridSpan w:val="5"/>
            <w:tcBorders>
              <w:top w:val="single" w:color="auto" w:sz="8" w:space="0"/>
            </w:tcBorders>
            <w:vAlign w:val="center"/>
          </w:tcPr>
          <w:p w14:paraId="72C412DC">
            <w:pPr>
              <w:pStyle w:val="55"/>
              <w:spacing w:line="360" w:lineRule="auto"/>
              <w:rPr>
                <w:rFonts w:hAnsi="宋体"/>
                <w:sz w:val="22"/>
                <w:szCs w:val="24"/>
              </w:rPr>
            </w:pPr>
          </w:p>
        </w:tc>
      </w:tr>
      <w:tr w14:paraId="65C5D2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jc w:val="center"/>
        </w:trPr>
        <w:tc>
          <w:tcPr>
            <w:tcW w:w="1349" w:type="dxa"/>
            <w:vMerge w:val="continue"/>
            <w:vAlign w:val="center"/>
          </w:tcPr>
          <w:p w14:paraId="14B4C6B5">
            <w:pPr>
              <w:pStyle w:val="55"/>
              <w:spacing w:line="360" w:lineRule="auto"/>
              <w:rPr>
                <w:rFonts w:hAnsi="宋体"/>
                <w:sz w:val="22"/>
                <w:szCs w:val="24"/>
              </w:rPr>
            </w:pPr>
          </w:p>
        </w:tc>
        <w:tc>
          <w:tcPr>
            <w:tcW w:w="1349" w:type="dxa"/>
            <w:vAlign w:val="center"/>
          </w:tcPr>
          <w:p w14:paraId="7637D3E2">
            <w:pPr>
              <w:pStyle w:val="55"/>
              <w:spacing w:line="360" w:lineRule="auto"/>
              <w:rPr>
                <w:rFonts w:hAnsi="宋体"/>
                <w:sz w:val="22"/>
                <w:szCs w:val="24"/>
              </w:rPr>
            </w:pPr>
            <w:r>
              <w:rPr>
                <w:rFonts w:hAnsi="宋体"/>
                <w:sz w:val="22"/>
                <w:szCs w:val="24"/>
              </w:rPr>
              <w:t>地址</w:t>
            </w:r>
          </w:p>
        </w:tc>
        <w:tc>
          <w:tcPr>
            <w:tcW w:w="6636" w:type="dxa"/>
            <w:gridSpan w:val="5"/>
            <w:vAlign w:val="center"/>
          </w:tcPr>
          <w:p w14:paraId="56C885E7">
            <w:pPr>
              <w:pStyle w:val="55"/>
              <w:spacing w:line="360" w:lineRule="auto"/>
              <w:rPr>
                <w:rFonts w:hAnsi="宋体"/>
                <w:sz w:val="22"/>
                <w:szCs w:val="24"/>
              </w:rPr>
            </w:pPr>
          </w:p>
        </w:tc>
      </w:tr>
      <w:tr w14:paraId="4EE1C6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jc w:val="center"/>
        </w:trPr>
        <w:tc>
          <w:tcPr>
            <w:tcW w:w="1349" w:type="dxa"/>
            <w:vMerge w:val="continue"/>
            <w:vAlign w:val="center"/>
          </w:tcPr>
          <w:p w14:paraId="7117FC1C">
            <w:pPr>
              <w:pStyle w:val="55"/>
              <w:spacing w:line="360" w:lineRule="auto"/>
              <w:rPr>
                <w:rFonts w:hAnsi="宋体"/>
                <w:sz w:val="22"/>
                <w:szCs w:val="24"/>
              </w:rPr>
            </w:pPr>
          </w:p>
        </w:tc>
        <w:tc>
          <w:tcPr>
            <w:tcW w:w="1349" w:type="dxa"/>
            <w:vAlign w:val="center"/>
          </w:tcPr>
          <w:p w14:paraId="402FB1A3">
            <w:pPr>
              <w:pStyle w:val="55"/>
              <w:spacing w:line="360" w:lineRule="auto"/>
              <w:rPr>
                <w:rFonts w:hAnsi="宋体"/>
                <w:sz w:val="22"/>
                <w:szCs w:val="24"/>
              </w:rPr>
            </w:pPr>
            <w:r>
              <w:rPr>
                <w:rFonts w:hAnsi="宋体"/>
                <w:sz w:val="22"/>
                <w:szCs w:val="24"/>
              </w:rPr>
              <w:t>负责人</w:t>
            </w:r>
          </w:p>
        </w:tc>
        <w:tc>
          <w:tcPr>
            <w:tcW w:w="1321" w:type="dxa"/>
            <w:vAlign w:val="center"/>
          </w:tcPr>
          <w:p w14:paraId="00BE909D">
            <w:pPr>
              <w:pStyle w:val="55"/>
              <w:spacing w:line="360" w:lineRule="auto"/>
              <w:rPr>
                <w:rFonts w:hAnsi="宋体"/>
                <w:sz w:val="22"/>
                <w:szCs w:val="24"/>
              </w:rPr>
            </w:pPr>
          </w:p>
        </w:tc>
        <w:tc>
          <w:tcPr>
            <w:tcW w:w="1348" w:type="dxa"/>
            <w:vAlign w:val="center"/>
          </w:tcPr>
          <w:p w14:paraId="29BE74B5">
            <w:pPr>
              <w:pStyle w:val="55"/>
              <w:spacing w:line="360" w:lineRule="auto"/>
              <w:rPr>
                <w:rFonts w:hAnsi="宋体"/>
                <w:sz w:val="22"/>
                <w:szCs w:val="24"/>
              </w:rPr>
            </w:pPr>
            <w:r>
              <w:rPr>
                <w:rFonts w:hAnsi="宋体"/>
                <w:sz w:val="22"/>
                <w:szCs w:val="24"/>
              </w:rPr>
              <w:t>电话</w:t>
            </w:r>
          </w:p>
        </w:tc>
        <w:tc>
          <w:tcPr>
            <w:tcW w:w="1322" w:type="dxa"/>
          </w:tcPr>
          <w:p w14:paraId="0A901AE6">
            <w:pPr>
              <w:pStyle w:val="55"/>
              <w:spacing w:line="360" w:lineRule="auto"/>
              <w:rPr>
                <w:rFonts w:hAnsi="宋体"/>
                <w:sz w:val="22"/>
                <w:szCs w:val="24"/>
              </w:rPr>
            </w:pPr>
          </w:p>
        </w:tc>
        <w:tc>
          <w:tcPr>
            <w:tcW w:w="1322" w:type="dxa"/>
            <w:vAlign w:val="center"/>
          </w:tcPr>
          <w:p w14:paraId="5564B20C">
            <w:pPr>
              <w:pStyle w:val="55"/>
              <w:spacing w:line="360" w:lineRule="auto"/>
              <w:rPr>
                <w:rFonts w:hAnsi="宋体"/>
                <w:sz w:val="22"/>
                <w:szCs w:val="24"/>
              </w:rPr>
            </w:pPr>
            <w:r>
              <w:rPr>
                <w:rFonts w:hAnsi="宋体"/>
                <w:sz w:val="22"/>
                <w:szCs w:val="24"/>
              </w:rPr>
              <w:t>传真</w:t>
            </w:r>
          </w:p>
        </w:tc>
        <w:tc>
          <w:tcPr>
            <w:tcW w:w="1323" w:type="dxa"/>
            <w:vAlign w:val="center"/>
          </w:tcPr>
          <w:p w14:paraId="130F594E">
            <w:pPr>
              <w:pStyle w:val="55"/>
              <w:spacing w:line="360" w:lineRule="auto"/>
              <w:rPr>
                <w:rFonts w:hAnsi="宋体"/>
                <w:sz w:val="22"/>
                <w:szCs w:val="24"/>
              </w:rPr>
            </w:pPr>
          </w:p>
        </w:tc>
      </w:tr>
      <w:tr w14:paraId="58A7C4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jc w:val="center"/>
        </w:trPr>
        <w:tc>
          <w:tcPr>
            <w:tcW w:w="1349" w:type="dxa"/>
            <w:vMerge w:val="continue"/>
            <w:vAlign w:val="center"/>
          </w:tcPr>
          <w:p w14:paraId="4689DD91">
            <w:pPr>
              <w:pStyle w:val="55"/>
              <w:spacing w:line="360" w:lineRule="auto"/>
              <w:rPr>
                <w:rFonts w:hAnsi="宋体"/>
                <w:sz w:val="22"/>
                <w:szCs w:val="24"/>
              </w:rPr>
            </w:pPr>
          </w:p>
        </w:tc>
        <w:tc>
          <w:tcPr>
            <w:tcW w:w="1349" w:type="dxa"/>
            <w:vAlign w:val="center"/>
          </w:tcPr>
          <w:p w14:paraId="3205EA2E">
            <w:pPr>
              <w:pStyle w:val="55"/>
              <w:spacing w:line="360" w:lineRule="auto"/>
              <w:rPr>
                <w:rFonts w:hAnsi="宋体"/>
                <w:sz w:val="22"/>
                <w:szCs w:val="24"/>
              </w:rPr>
            </w:pPr>
            <w:r>
              <w:rPr>
                <w:rFonts w:hAnsi="宋体"/>
                <w:sz w:val="22"/>
                <w:szCs w:val="24"/>
              </w:rPr>
              <w:t>联系人</w:t>
            </w:r>
          </w:p>
        </w:tc>
        <w:tc>
          <w:tcPr>
            <w:tcW w:w="1321" w:type="dxa"/>
            <w:vAlign w:val="center"/>
          </w:tcPr>
          <w:p w14:paraId="27F5ACC5">
            <w:pPr>
              <w:pStyle w:val="55"/>
              <w:spacing w:line="360" w:lineRule="auto"/>
              <w:rPr>
                <w:rFonts w:hAnsi="宋体"/>
                <w:sz w:val="22"/>
                <w:szCs w:val="24"/>
              </w:rPr>
            </w:pPr>
          </w:p>
        </w:tc>
        <w:tc>
          <w:tcPr>
            <w:tcW w:w="1348" w:type="dxa"/>
            <w:vAlign w:val="center"/>
          </w:tcPr>
          <w:p w14:paraId="16F1D50A">
            <w:pPr>
              <w:pStyle w:val="55"/>
              <w:spacing w:line="360" w:lineRule="auto"/>
              <w:rPr>
                <w:rFonts w:hAnsi="宋体"/>
                <w:sz w:val="22"/>
                <w:szCs w:val="24"/>
              </w:rPr>
            </w:pPr>
            <w:r>
              <w:rPr>
                <w:rFonts w:hAnsi="宋体"/>
                <w:sz w:val="22"/>
                <w:szCs w:val="24"/>
              </w:rPr>
              <w:t>电话</w:t>
            </w:r>
          </w:p>
        </w:tc>
        <w:tc>
          <w:tcPr>
            <w:tcW w:w="1322" w:type="dxa"/>
          </w:tcPr>
          <w:p w14:paraId="5686A172">
            <w:pPr>
              <w:pStyle w:val="55"/>
              <w:spacing w:line="360" w:lineRule="auto"/>
              <w:rPr>
                <w:rFonts w:hAnsi="宋体"/>
                <w:sz w:val="22"/>
                <w:szCs w:val="24"/>
              </w:rPr>
            </w:pPr>
          </w:p>
        </w:tc>
        <w:tc>
          <w:tcPr>
            <w:tcW w:w="1322" w:type="dxa"/>
            <w:vAlign w:val="center"/>
          </w:tcPr>
          <w:p w14:paraId="05EC70D4">
            <w:pPr>
              <w:pStyle w:val="55"/>
              <w:spacing w:line="360" w:lineRule="auto"/>
              <w:rPr>
                <w:rFonts w:hAnsi="宋体"/>
                <w:sz w:val="22"/>
                <w:szCs w:val="24"/>
              </w:rPr>
            </w:pPr>
            <w:r>
              <w:rPr>
                <w:rFonts w:hAnsi="宋体"/>
                <w:sz w:val="22"/>
                <w:szCs w:val="24"/>
              </w:rPr>
              <w:t>邮政编码</w:t>
            </w:r>
          </w:p>
        </w:tc>
        <w:tc>
          <w:tcPr>
            <w:tcW w:w="1323" w:type="dxa"/>
            <w:vAlign w:val="center"/>
          </w:tcPr>
          <w:p w14:paraId="5AB12365">
            <w:pPr>
              <w:pStyle w:val="55"/>
              <w:spacing w:line="360" w:lineRule="auto"/>
              <w:rPr>
                <w:rFonts w:hAnsi="宋体"/>
                <w:sz w:val="22"/>
                <w:szCs w:val="24"/>
              </w:rPr>
            </w:pPr>
          </w:p>
        </w:tc>
      </w:tr>
      <w:tr w14:paraId="359534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jc w:val="center"/>
        </w:trPr>
        <w:tc>
          <w:tcPr>
            <w:tcW w:w="1349" w:type="dxa"/>
            <w:vMerge w:val="continue"/>
            <w:vAlign w:val="center"/>
          </w:tcPr>
          <w:p w14:paraId="37203D3D">
            <w:pPr>
              <w:pStyle w:val="55"/>
              <w:spacing w:line="360" w:lineRule="auto"/>
              <w:rPr>
                <w:rFonts w:hAnsi="宋体"/>
                <w:sz w:val="22"/>
                <w:szCs w:val="24"/>
              </w:rPr>
            </w:pPr>
          </w:p>
        </w:tc>
        <w:tc>
          <w:tcPr>
            <w:tcW w:w="1349" w:type="dxa"/>
            <w:vAlign w:val="center"/>
          </w:tcPr>
          <w:p w14:paraId="6ADA2845">
            <w:pPr>
              <w:pStyle w:val="55"/>
              <w:spacing w:line="360" w:lineRule="auto"/>
              <w:rPr>
                <w:rFonts w:hAnsi="宋体"/>
                <w:sz w:val="22"/>
                <w:szCs w:val="24"/>
              </w:rPr>
            </w:pPr>
            <w:r>
              <w:rPr>
                <w:rFonts w:hAnsi="宋体"/>
                <w:sz w:val="22"/>
                <w:szCs w:val="24"/>
              </w:rPr>
              <w:t>电子邮箱</w:t>
            </w:r>
          </w:p>
        </w:tc>
        <w:tc>
          <w:tcPr>
            <w:tcW w:w="6636" w:type="dxa"/>
            <w:gridSpan w:val="5"/>
            <w:vAlign w:val="center"/>
          </w:tcPr>
          <w:p w14:paraId="4E47DA79">
            <w:pPr>
              <w:pStyle w:val="55"/>
              <w:spacing w:line="360" w:lineRule="auto"/>
              <w:rPr>
                <w:rFonts w:hAnsi="宋体"/>
                <w:sz w:val="22"/>
                <w:szCs w:val="24"/>
              </w:rPr>
            </w:pPr>
          </w:p>
        </w:tc>
      </w:tr>
      <w:tr w14:paraId="50D271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jc w:val="center"/>
        </w:trPr>
        <w:tc>
          <w:tcPr>
            <w:tcW w:w="1349" w:type="dxa"/>
            <w:vMerge w:val="restart"/>
            <w:vAlign w:val="center"/>
          </w:tcPr>
          <w:p w14:paraId="37FC31EB">
            <w:pPr>
              <w:pStyle w:val="55"/>
              <w:spacing w:line="360" w:lineRule="auto"/>
              <w:rPr>
                <w:rFonts w:hAnsi="宋体"/>
                <w:sz w:val="22"/>
                <w:szCs w:val="24"/>
              </w:rPr>
            </w:pPr>
            <w:r>
              <w:rPr>
                <w:rFonts w:hAnsi="宋体"/>
                <w:sz w:val="22"/>
                <w:szCs w:val="24"/>
              </w:rPr>
              <w:t>评价结构</w:t>
            </w:r>
          </w:p>
        </w:tc>
        <w:tc>
          <w:tcPr>
            <w:tcW w:w="1349" w:type="dxa"/>
            <w:vAlign w:val="center"/>
          </w:tcPr>
          <w:p w14:paraId="6113DCDC">
            <w:pPr>
              <w:pStyle w:val="55"/>
              <w:spacing w:line="360" w:lineRule="auto"/>
              <w:rPr>
                <w:rFonts w:hAnsi="宋体"/>
                <w:sz w:val="22"/>
                <w:szCs w:val="24"/>
              </w:rPr>
            </w:pPr>
            <w:r>
              <w:rPr>
                <w:rFonts w:hAnsi="宋体"/>
                <w:sz w:val="22"/>
                <w:szCs w:val="24"/>
              </w:rPr>
              <w:t>机构名称</w:t>
            </w:r>
          </w:p>
        </w:tc>
        <w:tc>
          <w:tcPr>
            <w:tcW w:w="6636" w:type="dxa"/>
            <w:gridSpan w:val="5"/>
            <w:vAlign w:val="center"/>
          </w:tcPr>
          <w:p w14:paraId="520CD19E">
            <w:pPr>
              <w:pStyle w:val="55"/>
              <w:spacing w:line="360" w:lineRule="auto"/>
              <w:rPr>
                <w:rFonts w:hAnsi="宋体"/>
                <w:sz w:val="22"/>
                <w:szCs w:val="24"/>
              </w:rPr>
            </w:pPr>
          </w:p>
        </w:tc>
      </w:tr>
      <w:tr w14:paraId="1DE818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jc w:val="center"/>
        </w:trPr>
        <w:tc>
          <w:tcPr>
            <w:tcW w:w="1349" w:type="dxa"/>
            <w:vMerge w:val="continue"/>
            <w:vAlign w:val="center"/>
          </w:tcPr>
          <w:p w14:paraId="344F1F02">
            <w:pPr>
              <w:pStyle w:val="55"/>
              <w:spacing w:line="360" w:lineRule="auto"/>
              <w:rPr>
                <w:rFonts w:hAnsi="宋体"/>
                <w:sz w:val="22"/>
                <w:szCs w:val="24"/>
              </w:rPr>
            </w:pPr>
          </w:p>
        </w:tc>
        <w:tc>
          <w:tcPr>
            <w:tcW w:w="1349" w:type="dxa"/>
            <w:vAlign w:val="center"/>
          </w:tcPr>
          <w:p w14:paraId="5A654E24">
            <w:pPr>
              <w:pStyle w:val="55"/>
              <w:spacing w:line="360" w:lineRule="auto"/>
              <w:rPr>
                <w:rFonts w:hAnsi="宋体"/>
                <w:sz w:val="22"/>
                <w:szCs w:val="24"/>
              </w:rPr>
            </w:pPr>
            <w:r>
              <w:rPr>
                <w:rFonts w:hAnsi="宋体"/>
                <w:sz w:val="22"/>
                <w:szCs w:val="24"/>
              </w:rPr>
              <w:t>地址</w:t>
            </w:r>
          </w:p>
        </w:tc>
        <w:tc>
          <w:tcPr>
            <w:tcW w:w="6636" w:type="dxa"/>
            <w:gridSpan w:val="5"/>
            <w:vAlign w:val="center"/>
          </w:tcPr>
          <w:p w14:paraId="7B73A0AD">
            <w:pPr>
              <w:pStyle w:val="55"/>
              <w:spacing w:line="360" w:lineRule="auto"/>
              <w:rPr>
                <w:rFonts w:hAnsi="宋体"/>
                <w:sz w:val="22"/>
                <w:szCs w:val="24"/>
              </w:rPr>
            </w:pPr>
          </w:p>
        </w:tc>
      </w:tr>
      <w:tr w14:paraId="58FB2C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jc w:val="center"/>
        </w:trPr>
        <w:tc>
          <w:tcPr>
            <w:tcW w:w="1349" w:type="dxa"/>
            <w:vMerge w:val="continue"/>
            <w:vAlign w:val="center"/>
          </w:tcPr>
          <w:p w14:paraId="6C09E94B">
            <w:pPr>
              <w:pStyle w:val="55"/>
              <w:spacing w:line="360" w:lineRule="auto"/>
              <w:rPr>
                <w:rFonts w:hAnsi="宋体"/>
                <w:sz w:val="22"/>
                <w:szCs w:val="24"/>
              </w:rPr>
            </w:pPr>
          </w:p>
        </w:tc>
        <w:tc>
          <w:tcPr>
            <w:tcW w:w="1349" w:type="dxa"/>
            <w:vAlign w:val="center"/>
          </w:tcPr>
          <w:p w14:paraId="5347CBE5">
            <w:pPr>
              <w:pStyle w:val="55"/>
              <w:spacing w:line="360" w:lineRule="auto"/>
              <w:rPr>
                <w:rFonts w:hAnsi="宋体"/>
                <w:sz w:val="22"/>
                <w:szCs w:val="24"/>
              </w:rPr>
            </w:pPr>
            <w:r>
              <w:rPr>
                <w:rFonts w:hAnsi="宋体"/>
                <w:sz w:val="22"/>
                <w:szCs w:val="24"/>
              </w:rPr>
              <w:t>负责人</w:t>
            </w:r>
          </w:p>
        </w:tc>
        <w:tc>
          <w:tcPr>
            <w:tcW w:w="1321" w:type="dxa"/>
            <w:vAlign w:val="center"/>
          </w:tcPr>
          <w:p w14:paraId="0465EE88">
            <w:pPr>
              <w:pStyle w:val="55"/>
              <w:spacing w:line="360" w:lineRule="auto"/>
              <w:rPr>
                <w:rFonts w:hAnsi="宋体"/>
                <w:sz w:val="22"/>
                <w:szCs w:val="24"/>
              </w:rPr>
            </w:pPr>
          </w:p>
        </w:tc>
        <w:tc>
          <w:tcPr>
            <w:tcW w:w="1348" w:type="dxa"/>
            <w:vAlign w:val="center"/>
          </w:tcPr>
          <w:p w14:paraId="557C7ED1">
            <w:pPr>
              <w:pStyle w:val="55"/>
              <w:spacing w:line="360" w:lineRule="auto"/>
              <w:rPr>
                <w:rFonts w:hAnsi="宋体"/>
                <w:sz w:val="22"/>
                <w:szCs w:val="24"/>
              </w:rPr>
            </w:pPr>
            <w:r>
              <w:rPr>
                <w:rFonts w:hAnsi="宋体"/>
                <w:sz w:val="22"/>
                <w:szCs w:val="24"/>
              </w:rPr>
              <w:t>电话</w:t>
            </w:r>
          </w:p>
        </w:tc>
        <w:tc>
          <w:tcPr>
            <w:tcW w:w="1322" w:type="dxa"/>
          </w:tcPr>
          <w:p w14:paraId="241A0699">
            <w:pPr>
              <w:pStyle w:val="55"/>
              <w:spacing w:line="360" w:lineRule="auto"/>
              <w:rPr>
                <w:rFonts w:hAnsi="宋体"/>
                <w:sz w:val="22"/>
                <w:szCs w:val="24"/>
              </w:rPr>
            </w:pPr>
          </w:p>
        </w:tc>
        <w:tc>
          <w:tcPr>
            <w:tcW w:w="1322" w:type="dxa"/>
            <w:vAlign w:val="center"/>
          </w:tcPr>
          <w:p w14:paraId="157BD9ED">
            <w:pPr>
              <w:pStyle w:val="55"/>
              <w:spacing w:line="360" w:lineRule="auto"/>
              <w:rPr>
                <w:rFonts w:hAnsi="宋体"/>
                <w:sz w:val="22"/>
                <w:szCs w:val="24"/>
              </w:rPr>
            </w:pPr>
            <w:r>
              <w:rPr>
                <w:rFonts w:hAnsi="宋体"/>
                <w:sz w:val="22"/>
                <w:szCs w:val="24"/>
              </w:rPr>
              <w:t>传真</w:t>
            </w:r>
          </w:p>
        </w:tc>
        <w:tc>
          <w:tcPr>
            <w:tcW w:w="1323" w:type="dxa"/>
            <w:vAlign w:val="center"/>
          </w:tcPr>
          <w:p w14:paraId="4B64115E">
            <w:pPr>
              <w:pStyle w:val="55"/>
              <w:spacing w:line="360" w:lineRule="auto"/>
              <w:rPr>
                <w:rFonts w:hAnsi="宋体"/>
                <w:sz w:val="22"/>
                <w:szCs w:val="24"/>
              </w:rPr>
            </w:pPr>
          </w:p>
        </w:tc>
      </w:tr>
      <w:tr w14:paraId="0FF3DE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jc w:val="center"/>
        </w:trPr>
        <w:tc>
          <w:tcPr>
            <w:tcW w:w="1349" w:type="dxa"/>
            <w:vMerge w:val="continue"/>
            <w:vAlign w:val="center"/>
          </w:tcPr>
          <w:p w14:paraId="36F26C4C">
            <w:pPr>
              <w:pStyle w:val="55"/>
              <w:spacing w:line="360" w:lineRule="auto"/>
              <w:rPr>
                <w:rFonts w:hAnsi="宋体"/>
                <w:sz w:val="22"/>
                <w:szCs w:val="24"/>
              </w:rPr>
            </w:pPr>
          </w:p>
        </w:tc>
        <w:tc>
          <w:tcPr>
            <w:tcW w:w="1349" w:type="dxa"/>
            <w:vAlign w:val="center"/>
          </w:tcPr>
          <w:p w14:paraId="0D315F74">
            <w:pPr>
              <w:pStyle w:val="55"/>
              <w:spacing w:line="360" w:lineRule="auto"/>
              <w:rPr>
                <w:rFonts w:hAnsi="宋体"/>
                <w:sz w:val="22"/>
                <w:szCs w:val="24"/>
              </w:rPr>
            </w:pPr>
            <w:r>
              <w:rPr>
                <w:rFonts w:hAnsi="宋体"/>
                <w:sz w:val="22"/>
                <w:szCs w:val="24"/>
              </w:rPr>
              <w:t>联系人</w:t>
            </w:r>
          </w:p>
        </w:tc>
        <w:tc>
          <w:tcPr>
            <w:tcW w:w="1321" w:type="dxa"/>
            <w:vAlign w:val="center"/>
          </w:tcPr>
          <w:p w14:paraId="3A278F53">
            <w:pPr>
              <w:pStyle w:val="55"/>
              <w:spacing w:line="360" w:lineRule="auto"/>
              <w:rPr>
                <w:rFonts w:hAnsi="宋体"/>
                <w:sz w:val="22"/>
                <w:szCs w:val="24"/>
              </w:rPr>
            </w:pPr>
          </w:p>
        </w:tc>
        <w:tc>
          <w:tcPr>
            <w:tcW w:w="1348" w:type="dxa"/>
            <w:vAlign w:val="center"/>
          </w:tcPr>
          <w:p w14:paraId="1AB2471C">
            <w:pPr>
              <w:pStyle w:val="55"/>
              <w:spacing w:line="360" w:lineRule="auto"/>
              <w:rPr>
                <w:rFonts w:hAnsi="宋体"/>
                <w:sz w:val="22"/>
                <w:szCs w:val="24"/>
              </w:rPr>
            </w:pPr>
            <w:r>
              <w:rPr>
                <w:rFonts w:hAnsi="宋体"/>
                <w:sz w:val="22"/>
                <w:szCs w:val="24"/>
              </w:rPr>
              <w:t>电话</w:t>
            </w:r>
          </w:p>
        </w:tc>
        <w:tc>
          <w:tcPr>
            <w:tcW w:w="1322" w:type="dxa"/>
          </w:tcPr>
          <w:p w14:paraId="445EBC7D">
            <w:pPr>
              <w:pStyle w:val="55"/>
              <w:spacing w:line="360" w:lineRule="auto"/>
              <w:rPr>
                <w:rFonts w:hAnsi="宋体"/>
                <w:sz w:val="22"/>
                <w:szCs w:val="24"/>
              </w:rPr>
            </w:pPr>
          </w:p>
        </w:tc>
        <w:tc>
          <w:tcPr>
            <w:tcW w:w="1322" w:type="dxa"/>
            <w:vAlign w:val="center"/>
          </w:tcPr>
          <w:p w14:paraId="0171CD8C">
            <w:pPr>
              <w:pStyle w:val="55"/>
              <w:spacing w:line="360" w:lineRule="auto"/>
              <w:rPr>
                <w:rFonts w:hAnsi="宋体"/>
                <w:sz w:val="22"/>
                <w:szCs w:val="24"/>
              </w:rPr>
            </w:pPr>
            <w:r>
              <w:rPr>
                <w:rFonts w:hAnsi="宋体"/>
                <w:sz w:val="22"/>
                <w:szCs w:val="24"/>
              </w:rPr>
              <w:t>邮政编码</w:t>
            </w:r>
          </w:p>
        </w:tc>
        <w:tc>
          <w:tcPr>
            <w:tcW w:w="1323" w:type="dxa"/>
            <w:vAlign w:val="center"/>
          </w:tcPr>
          <w:p w14:paraId="05E727F0">
            <w:pPr>
              <w:pStyle w:val="55"/>
              <w:spacing w:line="360" w:lineRule="auto"/>
              <w:rPr>
                <w:rFonts w:hAnsi="宋体"/>
                <w:sz w:val="22"/>
                <w:szCs w:val="24"/>
              </w:rPr>
            </w:pPr>
          </w:p>
        </w:tc>
      </w:tr>
      <w:tr w14:paraId="43D657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jc w:val="center"/>
        </w:trPr>
        <w:tc>
          <w:tcPr>
            <w:tcW w:w="1349" w:type="dxa"/>
            <w:vMerge w:val="continue"/>
            <w:vAlign w:val="center"/>
          </w:tcPr>
          <w:p w14:paraId="19BA4806">
            <w:pPr>
              <w:pStyle w:val="55"/>
              <w:spacing w:line="360" w:lineRule="auto"/>
              <w:rPr>
                <w:rFonts w:hAnsi="宋体"/>
                <w:sz w:val="22"/>
                <w:szCs w:val="24"/>
              </w:rPr>
            </w:pPr>
          </w:p>
        </w:tc>
        <w:tc>
          <w:tcPr>
            <w:tcW w:w="1349" w:type="dxa"/>
            <w:vAlign w:val="center"/>
          </w:tcPr>
          <w:p w14:paraId="1A69C011">
            <w:pPr>
              <w:pStyle w:val="55"/>
              <w:spacing w:line="360" w:lineRule="auto"/>
              <w:rPr>
                <w:rFonts w:hAnsi="宋体"/>
                <w:sz w:val="22"/>
                <w:szCs w:val="24"/>
              </w:rPr>
            </w:pPr>
            <w:r>
              <w:rPr>
                <w:rFonts w:hAnsi="宋体"/>
                <w:sz w:val="22"/>
                <w:szCs w:val="24"/>
              </w:rPr>
              <w:t>电子邮箱</w:t>
            </w:r>
          </w:p>
        </w:tc>
        <w:tc>
          <w:tcPr>
            <w:tcW w:w="6636" w:type="dxa"/>
            <w:gridSpan w:val="5"/>
            <w:vAlign w:val="center"/>
          </w:tcPr>
          <w:p w14:paraId="65FA0673">
            <w:pPr>
              <w:pStyle w:val="55"/>
              <w:spacing w:line="360" w:lineRule="auto"/>
              <w:rPr>
                <w:rFonts w:hAnsi="宋体"/>
                <w:sz w:val="22"/>
                <w:szCs w:val="24"/>
              </w:rPr>
            </w:pPr>
          </w:p>
        </w:tc>
      </w:tr>
      <w:tr w14:paraId="39BCD8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jc w:val="center"/>
        </w:trPr>
        <w:tc>
          <w:tcPr>
            <w:tcW w:w="9334" w:type="dxa"/>
            <w:gridSpan w:val="7"/>
            <w:vAlign w:val="center"/>
          </w:tcPr>
          <w:p w14:paraId="10EB9B98">
            <w:pPr>
              <w:pStyle w:val="55"/>
              <w:spacing w:line="360" w:lineRule="auto"/>
              <w:rPr>
                <w:rFonts w:hAnsi="宋体"/>
                <w:sz w:val="22"/>
                <w:szCs w:val="24"/>
              </w:rPr>
            </w:pPr>
            <w:r>
              <w:rPr>
                <w:rFonts w:hAnsi="宋体"/>
                <w:sz w:val="22"/>
                <w:szCs w:val="24"/>
              </w:rPr>
              <w:t>产品信息</w:t>
            </w:r>
          </w:p>
        </w:tc>
      </w:tr>
      <w:tr w14:paraId="132192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1284" w:hRule="atLeast"/>
          <w:jc w:val="center"/>
        </w:trPr>
        <w:tc>
          <w:tcPr>
            <w:tcW w:w="9334" w:type="dxa"/>
            <w:gridSpan w:val="7"/>
            <w:vAlign w:val="center"/>
          </w:tcPr>
          <w:p w14:paraId="1CC02A40">
            <w:pPr>
              <w:pStyle w:val="55"/>
              <w:spacing w:line="360" w:lineRule="auto"/>
              <w:jc w:val="left"/>
              <w:rPr>
                <w:rFonts w:hAnsi="宋体"/>
                <w:sz w:val="22"/>
                <w:szCs w:val="24"/>
              </w:rPr>
            </w:pPr>
            <w:r>
              <w:rPr>
                <w:rFonts w:hAnsi="宋体"/>
                <w:sz w:val="22"/>
                <w:szCs w:val="24"/>
              </w:rPr>
              <w:t>（包括但不限于产品名称、产品介绍等内容）</w:t>
            </w:r>
          </w:p>
        </w:tc>
      </w:tr>
      <w:tr w14:paraId="7DBECC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jc w:val="center"/>
        </w:trPr>
        <w:tc>
          <w:tcPr>
            <w:tcW w:w="9334" w:type="dxa"/>
            <w:gridSpan w:val="7"/>
            <w:vAlign w:val="center"/>
          </w:tcPr>
          <w:p w14:paraId="09FB036B">
            <w:pPr>
              <w:pStyle w:val="55"/>
              <w:spacing w:line="360" w:lineRule="auto"/>
              <w:rPr>
                <w:rFonts w:hAnsi="宋体"/>
                <w:sz w:val="22"/>
                <w:szCs w:val="24"/>
              </w:rPr>
            </w:pPr>
            <w:r>
              <w:rPr>
                <w:rFonts w:hAnsi="宋体"/>
                <w:sz w:val="22"/>
                <w:szCs w:val="24"/>
              </w:rPr>
              <w:t>系统边界</w:t>
            </w:r>
          </w:p>
        </w:tc>
      </w:tr>
      <w:tr w14:paraId="1A56F8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1448" w:hRule="atLeast"/>
          <w:jc w:val="center"/>
        </w:trPr>
        <w:tc>
          <w:tcPr>
            <w:tcW w:w="9334" w:type="dxa"/>
            <w:gridSpan w:val="7"/>
            <w:vAlign w:val="center"/>
          </w:tcPr>
          <w:p w14:paraId="1BBC1AA5">
            <w:pPr>
              <w:pStyle w:val="55"/>
              <w:spacing w:line="360" w:lineRule="auto"/>
              <w:jc w:val="left"/>
              <w:rPr>
                <w:rFonts w:hAnsi="宋体"/>
                <w:sz w:val="22"/>
                <w:szCs w:val="24"/>
              </w:rPr>
            </w:pPr>
            <w:r>
              <w:rPr>
                <w:rFonts w:hAnsi="宋体"/>
                <w:sz w:val="22"/>
                <w:szCs w:val="24"/>
              </w:rPr>
              <w:t>（包括但不限于产品生命周期阶段定义、时间周期、地理范围、排放源类型等内容）</w:t>
            </w:r>
          </w:p>
        </w:tc>
      </w:tr>
      <w:tr w14:paraId="2B3BF2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jc w:val="center"/>
        </w:trPr>
        <w:tc>
          <w:tcPr>
            <w:tcW w:w="9334" w:type="dxa"/>
            <w:gridSpan w:val="7"/>
            <w:vAlign w:val="center"/>
          </w:tcPr>
          <w:p w14:paraId="158BB218">
            <w:pPr>
              <w:pStyle w:val="55"/>
              <w:spacing w:line="360" w:lineRule="auto"/>
              <w:rPr>
                <w:rFonts w:hAnsi="宋体"/>
                <w:sz w:val="22"/>
                <w:szCs w:val="24"/>
              </w:rPr>
            </w:pPr>
            <w:r>
              <w:rPr>
                <w:rFonts w:hAnsi="宋体"/>
                <w:sz w:val="22"/>
                <w:szCs w:val="24"/>
              </w:rPr>
              <w:t>碳足迹计算方法</w:t>
            </w:r>
          </w:p>
        </w:tc>
      </w:tr>
      <w:tr w14:paraId="731F6E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1460" w:hRule="atLeast"/>
          <w:jc w:val="center"/>
        </w:trPr>
        <w:tc>
          <w:tcPr>
            <w:tcW w:w="9334" w:type="dxa"/>
            <w:gridSpan w:val="7"/>
            <w:vAlign w:val="center"/>
          </w:tcPr>
          <w:p w14:paraId="35C574D2">
            <w:pPr>
              <w:pStyle w:val="55"/>
              <w:spacing w:line="360" w:lineRule="auto"/>
              <w:jc w:val="left"/>
              <w:rPr>
                <w:rFonts w:hAnsi="宋体"/>
                <w:sz w:val="22"/>
                <w:szCs w:val="24"/>
              </w:rPr>
            </w:pPr>
            <w:r>
              <w:rPr>
                <w:rFonts w:hAnsi="宋体"/>
                <w:sz w:val="22"/>
                <w:szCs w:val="24"/>
              </w:rPr>
              <w:t>（包括但不限于各种排放源的计算公式，如电力排放计算公式等内容）</w:t>
            </w:r>
          </w:p>
        </w:tc>
      </w:tr>
      <w:tr w14:paraId="35A8FD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jc w:val="center"/>
        </w:trPr>
        <w:tc>
          <w:tcPr>
            <w:tcW w:w="9334" w:type="dxa"/>
            <w:gridSpan w:val="7"/>
            <w:vAlign w:val="center"/>
          </w:tcPr>
          <w:p w14:paraId="17CD2FA1">
            <w:pPr>
              <w:pStyle w:val="55"/>
              <w:spacing w:line="360" w:lineRule="auto"/>
              <w:rPr>
                <w:rFonts w:hAnsi="宋体"/>
                <w:sz w:val="22"/>
                <w:szCs w:val="24"/>
              </w:rPr>
            </w:pPr>
            <w:r>
              <w:rPr>
                <w:rFonts w:hAnsi="宋体"/>
                <w:sz w:val="22"/>
                <w:szCs w:val="24"/>
              </w:rPr>
              <w:t>碳足迹核算</w:t>
            </w:r>
          </w:p>
        </w:tc>
      </w:tr>
      <w:tr w14:paraId="42DCFE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1440" w:hRule="atLeast"/>
          <w:jc w:val="center"/>
        </w:trPr>
        <w:tc>
          <w:tcPr>
            <w:tcW w:w="9334" w:type="dxa"/>
            <w:gridSpan w:val="7"/>
            <w:vAlign w:val="center"/>
          </w:tcPr>
          <w:p w14:paraId="2F1B3C17">
            <w:pPr>
              <w:pStyle w:val="55"/>
              <w:spacing w:line="360" w:lineRule="auto"/>
              <w:jc w:val="left"/>
              <w:rPr>
                <w:rFonts w:hAnsi="宋体"/>
                <w:sz w:val="22"/>
                <w:szCs w:val="24"/>
              </w:rPr>
            </w:pPr>
            <w:r>
              <w:rPr>
                <w:rFonts w:hAnsi="宋体"/>
                <w:sz w:val="22"/>
                <w:szCs w:val="24"/>
              </w:rPr>
              <w:t>（包括但不限于各阶段排放源计算程序、活动数据收集及排放系数来源说明、产品生命周期碳足迹结果及说明等内容）</w:t>
            </w:r>
          </w:p>
        </w:tc>
      </w:tr>
      <w:tr w14:paraId="4585FF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jc w:val="center"/>
        </w:trPr>
        <w:tc>
          <w:tcPr>
            <w:tcW w:w="9334" w:type="dxa"/>
            <w:gridSpan w:val="7"/>
            <w:vAlign w:val="center"/>
          </w:tcPr>
          <w:p w14:paraId="331EF411">
            <w:pPr>
              <w:pStyle w:val="55"/>
              <w:spacing w:line="360" w:lineRule="auto"/>
              <w:rPr>
                <w:rFonts w:hAnsi="宋体"/>
                <w:sz w:val="22"/>
                <w:szCs w:val="24"/>
              </w:rPr>
            </w:pPr>
            <w:r>
              <w:rPr>
                <w:rFonts w:hAnsi="宋体"/>
                <w:sz w:val="22"/>
                <w:szCs w:val="24"/>
              </w:rPr>
              <w:t>报告管理和保存</w:t>
            </w:r>
          </w:p>
        </w:tc>
      </w:tr>
      <w:tr w14:paraId="1FF175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1436" w:hRule="atLeast"/>
          <w:jc w:val="center"/>
        </w:trPr>
        <w:tc>
          <w:tcPr>
            <w:tcW w:w="9334" w:type="dxa"/>
            <w:gridSpan w:val="7"/>
            <w:vAlign w:val="center"/>
          </w:tcPr>
          <w:p w14:paraId="40A89F3B">
            <w:pPr>
              <w:pStyle w:val="55"/>
              <w:spacing w:line="360" w:lineRule="auto"/>
              <w:jc w:val="left"/>
              <w:rPr>
                <w:rFonts w:hAnsi="宋体"/>
                <w:sz w:val="22"/>
                <w:szCs w:val="24"/>
              </w:rPr>
            </w:pPr>
            <w:r>
              <w:rPr>
                <w:rFonts w:hAnsi="宋体"/>
                <w:sz w:val="22"/>
                <w:szCs w:val="24"/>
              </w:rPr>
              <w:t>（对报告的使用这、管理保存方法、有效期、保密性等内容）</w:t>
            </w:r>
          </w:p>
        </w:tc>
      </w:tr>
      <w:tr w14:paraId="535450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jc w:val="center"/>
        </w:trPr>
        <w:tc>
          <w:tcPr>
            <w:tcW w:w="9334" w:type="dxa"/>
            <w:gridSpan w:val="7"/>
            <w:vAlign w:val="center"/>
          </w:tcPr>
          <w:p w14:paraId="0D2EB14B">
            <w:pPr>
              <w:pStyle w:val="55"/>
              <w:spacing w:line="360" w:lineRule="auto"/>
              <w:rPr>
                <w:rFonts w:hAnsi="宋体"/>
                <w:sz w:val="22"/>
                <w:szCs w:val="24"/>
              </w:rPr>
            </w:pPr>
            <w:r>
              <w:rPr>
                <w:rFonts w:hAnsi="宋体"/>
                <w:sz w:val="22"/>
                <w:szCs w:val="24"/>
              </w:rPr>
              <w:t>参考文献</w:t>
            </w:r>
          </w:p>
        </w:tc>
      </w:tr>
      <w:tr w14:paraId="72C82D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1144" w:hRule="atLeast"/>
          <w:jc w:val="center"/>
        </w:trPr>
        <w:tc>
          <w:tcPr>
            <w:tcW w:w="9334" w:type="dxa"/>
            <w:gridSpan w:val="7"/>
            <w:vAlign w:val="center"/>
          </w:tcPr>
          <w:p w14:paraId="649993CE">
            <w:pPr>
              <w:pStyle w:val="55"/>
              <w:spacing w:line="360" w:lineRule="auto"/>
              <w:jc w:val="left"/>
              <w:rPr>
                <w:rFonts w:hAnsi="宋体"/>
                <w:sz w:val="22"/>
                <w:szCs w:val="24"/>
              </w:rPr>
            </w:pPr>
            <w:r>
              <w:rPr>
                <w:rFonts w:hAnsi="宋体"/>
                <w:sz w:val="22"/>
                <w:szCs w:val="24"/>
              </w:rPr>
              <w:t>（报告涉及到的所有参考文献说明等内容）</w:t>
            </w:r>
          </w:p>
        </w:tc>
      </w:tr>
      <w:tr w14:paraId="6460C5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jc w:val="center"/>
        </w:trPr>
        <w:tc>
          <w:tcPr>
            <w:tcW w:w="9334" w:type="dxa"/>
            <w:gridSpan w:val="7"/>
            <w:vAlign w:val="center"/>
          </w:tcPr>
          <w:p w14:paraId="0473AA81">
            <w:pPr>
              <w:pStyle w:val="55"/>
              <w:spacing w:line="360" w:lineRule="auto"/>
              <w:rPr>
                <w:rFonts w:hAnsi="宋体"/>
                <w:sz w:val="22"/>
                <w:szCs w:val="24"/>
              </w:rPr>
            </w:pPr>
            <w:r>
              <w:rPr>
                <w:rFonts w:hAnsi="宋体"/>
                <w:sz w:val="22"/>
                <w:szCs w:val="24"/>
              </w:rPr>
              <w:t>支持性文献</w:t>
            </w:r>
          </w:p>
        </w:tc>
      </w:tr>
      <w:tr w14:paraId="7A6A85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1305" w:hRule="atLeast"/>
          <w:jc w:val="center"/>
        </w:trPr>
        <w:tc>
          <w:tcPr>
            <w:tcW w:w="9334" w:type="dxa"/>
            <w:gridSpan w:val="7"/>
            <w:vAlign w:val="center"/>
          </w:tcPr>
          <w:p w14:paraId="6F7BC612">
            <w:pPr>
              <w:pStyle w:val="55"/>
              <w:spacing w:line="360" w:lineRule="auto"/>
              <w:jc w:val="left"/>
              <w:rPr>
                <w:rFonts w:hAnsi="宋体"/>
                <w:sz w:val="22"/>
                <w:szCs w:val="24"/>
              </w:rPr>
            </w:pPr>
            <w:r>
              <w:rPr>
                <w:rFonts w:hAnsi="宋体"/>
                <w:sz w:val="22"/>
                <w:szCs w:val="24"/>
              </w:rPr>
              <w:t>（报告涉及的相关支持材料清单及附件等内容）</w:t>
            </w:r>
          </w:p>
        </w:tc>
      </w:tr>
      <w:tr w14:paraId="606C2B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jc w:val="center"/>
        </w:trPr>
        <w:tc>
          <w:tcPr>
            <w:tcW w:w="9334" w:type="dxa"/>
            <w:gridSpan w:val="7"/>
            <w:vAlign w:val="center"/>
          </w:tcPr>
          <w:p w14:paraId="6394D996">
            <w:pPr>
              <w:pStyle w:val="55"/>
              <w:spacing w:line="360" w:lineRule="auto"/>
              <w:rPr>
                <w:rFonts w:hAnsi="宋体"/>
                <w:sz w:val="22"/>
                <w:szCs w:val="24"/>
              </w:rPr>
            </w:pPr>
            <w:r>
              <w:rPr>
                <w:rFonts w:hAnsi="宋体"/>
                <w:sz w:val="22"/>
                <w:szCs w:val="24"/>
              </w:rPr>
              <w:t>其他需要说明的事项</w:t>
            </w:r>
          </w:p>
        </w:tc>
      </w:tr>
      <w:tr w14:paraId="50F02A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1313" w:hRule="atLeast"/>
          <w:jc w:val="center"/>
        </w:trPr>
        <w:tc>
          <w:tcPr>
            <w:tcW w:w="9334" w:type="dxa"/>
            <w:gridSpan w:val="7"/>
            <w:vAlign w:val="center"/>
          </w:tcPr>
          <w:p w14:paraId="30D0AFAC">
            <w:pPr>
              <w:pStyle w:val="55"/>
              <w:spacing w:line="360" w:lineRule="auto"/>
              <w:jc w:val="left"/>
              <w:rPr>
                <w:rFonts w:hAnsi="宋体"/>
                <w:sz w:val="22"/>
                <w:szCs w:val="24"/>
              </w:rPr>
            </w:pPr>
            <w:r>
              <w:rPr>
                <w:rFonts w:hAnsi="宋体"/>
                <w:sz w:val="22"/>
                <w:szCs w:val="24"/>
              </w:rPr>
              <w:t>（其他需要说明的事项）</w:t>
            </w:r>
          </w:p>
        </w:tc>
      </w:tr>
      <w:bookmarkEnd w:id="55"/>
    </w:tbl>
    <w:p w14:paraId="32970147">
      <w:pPr>
        <w:spacing w:line="360" w:lineRule="auto"/>
        <w:ind w:firstLine="800" w:firstLineChars="200"/>
        <w:rPr>
          <w:rFonts w:ascii="宋体" w:hAnsi="宋体" w:eastAsia="宋体" w:cs="Times New Roman"/>
          <w:sz w:val="40"/>
          <w:szCs w:val="40"/>
        </w:rPr>
      </w:pPr>
    </w:p>
    <w:p w14:paraId="6618CEDE">
      <w:pPr>
        <w:pStyle w:val="18"/>
        <w:spacing w:line="360" w:lineRule="auto"/>
        <w:ind w:firstLine="0" w:firstLineChars="0"/>
        <w:outlineLvl w:val="0"/>
        <w:rPr>
          <w:rFonts w:ascii="Times New Roman" w:hAnsi="Times New Roman" w:eastAsia="黑体" w:cs="Times New Roman"/>
          <w:b/>
          <w:kern w:val="0"/>
          <w:sz w:val="30"/>
          <w:szCs w:val="30"/>
        </w:rPr>
      </w:pPr>
      <w:bookmarkStart w:id="58" w:name="_Toc12675"/>
      <w:r>
        <w:rPr>
          <w:rFonts w:ascii="Times New Roman" w:hAnsi="Times New Roman" w:eastAsia="黑体" w:cs="Times New Roman"/>
          <w:b/>
          <w:kern w:val="0"/>
          <w:sz w:val="30"/>
          <w:szCs w:val="30"/>
        </w:rPr>
        <w:t>三、主要试验和情况分析</w:t>
      </w:r>
      <w:bookmarkEnd w:id="58"/>
    </w:p>
    <w:p w14:paraId="60C4FED3">
      <w:pPr>
        <w:widowControl/>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结合国内外的行业测试标准和企业内部工厂管控的项目进行要求规定和试验验证。</w:t>
      </w:r>
    </w:p>
    <w:p w14:paraId="0070DF3D">
      <w:pPr>
        <w:pStyle w:val="18"/>
        <w:spacing w:line="360" w:lineRule="auto"/>
        <w:ind w:firstLine="0" w:firstLineChars="0"/>
        <w:outlineLvl w:val="0"/>
        <w:rPr>
          <w:rFonts w:ascii="Times New Roman" w:hAnsi="Times New Roman" w:eastAsia="黑体" w:cs="Times New Roman"/>
          <w:b/>
          <w:kern w:val="0"/>
          <w:sz w:val="30"/>
          <w:szCs w:val="30"/>
        </w:rPr>
      </w:pPr>
      <w:bookmarkStart w:id="59" w:name="_Toc20840"/>
      <w:r>
        <w:rPr>
          <w:rFonts w:ascii="Times New Roman" w:hAnsi="Times New Roman" w:eastAsia="黑体" w:cs="Times New Roman"/>
          <w:b/>
          <w:kern w:val="0"/>
          <w:sz w:val="30"/>
          <w:szCs w:val="30"/>
        </w:rPr>
        <w:t>四、标准中涉及专利的情况</w:t>
      </w:r>
      <w:bookmarkEnd w:id="59"/>
    </w:p>
    <w:p w14:paraId="0530E0EF">
      <w:pPr>
        <w:widowControl/>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无</w:t>
      </w:r>
    </w:p>
    <w:p w14:paraId="3F31E606">
      <w:pPr>
        <w:pStyle w:val="18"/>
        <w:spacing w:line="360" w:lineRule="auto"/>
        <w:ind w:firstLine="0" w:firstLineChars="0"/>
        <w:outlineLvl w:val="0"/>
        <w:rPr>
          <w:rFonts w:ascii="Times New Roman" w:hAnsi="Times New Roman" w:eastAsia="黑体" w:cs="Times New Roman"/>
          <w:b/>
          <w:kern w:val="0"/>
          <w:sz w:val="30"/>
          <w:szCs w:val="30"/>
        </w:rPr>
      </w:pPr>
      <w:bookmarkStart w:id="60" w:name="_Toc29243"/>
      <w:r>
        <w:rPr>
          <w:rFonts w:ascii="Times New Roman" w:hAnsi="Times New Roman" w:eastAsia="黑体" w:cs="Times New Roman"/>
          <w:b/>
          <w:kern w:val="0"/>
          <w:sz w:val="30"/>
          <w:szCs w:val="30"/>
        </w:rPr>
        <w:t>五、预期达到的效益（经济、效益、生态等），对产业发展的作用的情况</w:t>
      </w:r>
      <w:bookmarkEnd w:id="60"/>
    </w:p>
    <w:p w14:paraId="7852582A">
      <w:pPr>
        <w:widowControl/>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刹车盘盖板产品碳足迹企业规范运营，在国际市场上有机会与其他各国（相关）企业竞争。</w:t>
      </w:r>
    </w:p>
    <w:p w14:paraId="0A0D3800">
      <w:pPr>
        <w:spacing w:line="360" w:lineRule="auto"/>
        <w:outlineLvl w:val="0"/>
        <w:rPr>
          <w:rFonts w:ascii="Times New Roman" w:hAnsi="Times New Roman" w:eastAsia="黑体" w:cs="Times New Roman"/>
          <w:b/>
          <w:kern w:val="0"/>
          <w:sz w:val="30"/>
          <w:szCs w:val="30"/>
        </w:rPr>
      </w:pPr>
      <w:bookmarkStart w:id="61" w:name="_Toc4979"/>
      <w:r>
        <w:rPr>
          <w:rFonts w:ascii="Times New Roman" w:hAnsi="Times New Roman" w:eastAsia="黑体" w:cs="Times New Roman"/>
          <w:b/>
          <w:kern w:val="0"/>
          <w:sz w:val="30"/>
          <w:szCs w:val="30"/>
        </w:rPr>
        <w:t>六、与有关的现行法律、法规和强制性国家标准的关系</w:t>
      </w:r>
      <w:bookmarkEnd w:id="61"/>
    </w:p>
    <w:p w14:paraId="382A0B7A">
      <w:pPr>
        <w:pStyle w:val="18"/>
        <w:spacing w:line="360" w:lineRule="auto"/>
        <w:ind w:firstLine="560"/>
        <w:rPr>
          <w:rFonts w:ascii="Times New Roman" w:hAnsi="Times New Roman" w:cs="Times New Roman"/>
          <w:kern w:val="0"/>
          <w:sz w:val="28"/>
          <w:szCs w:val="28"/>
        </w:rPr>
      </w:pPr>
      <w:r>
        <w:rPr>
          <w:rFonts w:ascii="Times New Roman" w:hAnsi="Times New Roman" w:cs="Times New Roman"/>
          <w:kern w:val="0"/>
          <w:sz w:val="28"/>
          <w:szCs w:val="28"/>
        </w:rPr>
        <w:t>与现行法律、法规和强制性标准没有冲突。</w:t>
      </w:r>
    </w:p>
    <w:p w14:paraId="400718FE">
      <w:pPr>
        <w:pStyle w:val="18"/>
        <w:spacing w:line="360" w:lineRule="auto"/>
        <w:ind w:firstLine="0" w:firstLineChars="0"/>
        <w:outlineLvl w:val="0"/>
        <w:rPr>
          <w:rFonts w:ascii="Times New Roman" w:hAnsi="Times New Roman" w:eastAsia="黑体" w:cs="Times New Roman"/>
          <w:b/>
          <w:kern w:val="0"/>
          <w:sz w:val="30"/>
          <w:szCs w:val="30"/>
        </w:rPr>
      </w:pPr>
      <w:bookmarkStart w:id="62" w:name="_Toc21799"/>
      <w:r>
        <w:rPr>
          <w:rFonts w:ascii="Times New Roman" w:hAnsi="Times New Roman" w:eastAsia="黑体" w:cs="Times New Roman"/>
          <w:b/>
          <w:kern w:val="0"/>
          <w:sz w:val="30"/>
          <w:szCs w:val="30"/>
        </w:rPr>
        <w:t>七、重大意见分歧的处理依据和结果</w:t>
      </w:r>
      <w:bookmarkEnd w:id="62"/>
    </w:p>
    <w:p w14:paraId="6B56A1A9">
      <w:pPr>
        <w:pStyle w:val="18"/>
        <w:spacing w:line="360" w:lineRule="auto"/>
        <w:ind w:firstLine="560"/>
        <w:rPr>
          <w:rFonts w:ascii="Times New Roman" w:hAnsi="Times New Roman" w:cs="Times New Roman"/>
          <w:kern w:val="0"/>
          <w:sz w:val="28"/>
          <w:szCs w:val="28"/>
        </w:rPr>
      </w:pPr>
      <w:r>
        <w:rPr>
          <w:rFonts w:ascii="Times New Roman" w:hAnsi="Times New Roman" w:cs="Times New Roman"/>
          <w:kern w:val="0"/>
          <w:sz w:val="28"/>
          <w:szCs w:val="28"/>
        </w:rPr>
        <w:t>标准制定过程中，未出现重大意见分歧。</w:t>
      </w:r>
    </w:p>
    <w:p w14:paraId="7584C4FB">
      <w:pPr>
        <w:pStyle w:val="18"/>
        <w:spacing w:line="360" w:lineRule="auto"/>
        <w:ind w:firstLine="0" w:firstLineChars="0"/>
        <w:outlineLvl w:val="0"/>
        <w:rPr>
          <w:rFonts w:ascii="Times New Roman" w:hAnsi="Times New Roman" w:eastAsia="黑体" w:cs="Times New Roman"/>
          <w:b/>
          <w:kern w:val="0"/>
          <w:sz w:val="30"/>
          <w:szCs w:val="30"/>
        </w:rPr>
      </w:pPr>
      <w:bookmarkStart w:id="63" w:name="_Toc20135"/>
      <w:r>
        <w:rPr>
          <w:rFonts w:ascii="Times New Roman" w:hAnsi="Times New Roman" w:eastAsia="黑体" w:cs="Times New Roman"/>
          <w:b/>
          <w:kern w:val="0"/>
          <w:sz w:val="30"/>
          <w:szCs w:val="30"/>
        </w:rPr>
        <w:t>八、标准性质的建议说明</w:t>
      </w:r>
      <w:bookmarkEnd w:id="63"/>
    </w:p>
    <w:p w14:paraId="0185C34E">
      <w:pPr>
        <w:pStyle w:val="18"/>
        <w:spacing w:line="360" w:lineRule="auto"/>
        <w:ind w:firstLine="560"/>
        <w:rPr>
          <w:rFonts w:ascii="Times New Roman" w:hAnsi="Times New Roman" w:cs="Times New Roman"/>
          <w:kern w:val="0"/>
          <w:sz w:val="28"/>
          <w:szCs w:val="28"/>
        </w:rPr>
      </w:pPr>
      <w:r>
        <w:rPr>
          <w:rFonts w:ascii="Times New Roman" w:hAnsi="Times New Roman" w:cs="Times New Roman"/>
          <w:kern w:val="0"/>
          <w:sz w:val="28"/>
          <w:szCs w:val="28"/>
        </w:rPr>
        <w:t>本标准为团体标准，供社会各界自愿使用。</w:t>
      </w:r>
    </w:p>
    <w:p w14:paraId="03A22D07">
      <w:pPr>
        <w:pStyle w:val="18"/>
        <w:spacing w:line="360" w:lineRule="auto"/>
        <w:ind w:firstLine="0" w:firstLineChars="0"/>
        <w:outlineLvl w:val="0"/>
        <w:rPr>
          <w:rFonts w:ascii="Times New Roman" w:hAnsi="Times New Roman" w:eastAsia="黑体" w:cs="Times New Roman"/>
          <w:b/>
          <w:kern w:val="0"/>
          <w:sz w:val="30"/>
          <w:szCs w:val="30"/>
        </w:rPr>
      </w:pPr>
      <w:bookmarkStart w:id="64" w:name="_Toc23106"/>
      <w:r>
        <w:rPr>
          <w:rFonts w:ascii="Times New Roman" w:hAnsi="Times New Roman" w:eastAsia="黑体" w:cs="Times New Roman"/>
          <w:b/>
          <w:kern w:val="0"/>
          <w:sz w:val="30"/>
          <w:szCs w:val="30"/>
        </w:rPr>
        <w:t>九、贯彻标准的要求和措施建议</w:t>
      </w:r>
      <w:bookmarkEnd w:id="64"/>
    </w:p>
    <w:p w14:paraId="7FA62707">
      <w:pPr>
        <w:spacing w:after="240" w:afterLines="100" w:line="540" w:lineRule="exact"/>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无。</w:t>
      </w:r>
    </w:p>
    <w:p w14:paraId="243439CE">
      <w:pPr>
        <w:pStyle w:val="18"/>
        <w:spacing w:line="360" w:lineRule="auto"/>
        <w:ind w:firstLine="0" w:firstLineChars="0"/>
        <w:outlineLvl w:val="0"/>
        <w:rPr>
          <w:rFonts w:ascii="Times New Roman" w:hAnsi="Times New Roman" w:eastAsia="黑体" w:cs="Times New Roman"/>
          <w:b/>
          <w:kern w:val="0"/>
          <w:sz w:val="30"/>
          <w:szCs w:val="30"/>
        </w:rPr>
      </w:pPr>
      <w:bookmarkStart w:id="65" w:name="_Toc29517"/>
      <w:r>
        <w:rPr>
          <w:rFonts w:ascii="Times New Roman" w:hAnsi="Times New Roman" w:eastAsia="黑体" w:cs="Times New Roman"/>
          <w:b/>
          <w:kern w:val="0"/>
          <w:sz w:val="30"/>
          <w:szCs w:val="30"/>
        </w:rPr>
        <w:t>十、废止现行相关标准的建议</w:t>
      </w:r>
      <w:bookmarkEnd w:id="65"/>
    </w:p>
    <w:p w14:paraId="029A4A9D">
      <w:pPr>
        <w:spacing w:after="240" w:afterLines="100" w:line="540" w:lineRule="exact"/>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本标准为首次发布。</w:t>
      </w:r>
    </w:p>
    <w:p w14:paraId="742D140B">
      <w:pPr>
        <w:pStyle w:val="18"/>
        <w:spacing w:line="360" w:lineRule="auto"/>
        <w:ind w:firstLine="0" w:firstLineChars="0"/>
        <w:outlineLvl w:val="0"/>
        <w:rPr>
          <w:rFonts w:ascii="Times New Roman" w:hAnsi="Times New Roman" w:eastAsia="黑体" w:cs="Times New Roman"/>
          <w:b/>
          <w:kern w:val="0"/>
          <w:sz w:val="30"/>
          <w:szCs w:val="30"/>
        </w:rPr>
      </w:pPr>
      <w:bookmarkStart w:id="66" w:name="_Toc18435"/>
      <w:r>
        <w:rPr>
          <w:rFonts w:ascii="Times New Roman" w:hAnsi="Times New Roman" w:eastAsia="黑体" w:cs="Times New Roman"/>
          <w:b/>
          <w:kern w:val="0"/>
          <w:sz w:val="30"/>
          <w:szCs w:val="30"/>
        </w:rPr>
        <w:t>十一、其他应予说明的事项</w:t>
      </w:r>
      <w:bookmarkEnd w:id="66"/>
    </w:p>
    <w:p w14:paraId="0066CDE2">
      <w:pPr>
        <w:spacing w:after="240" w:afterLines="100" w:line="540" w:lineRule="exact"/>
        <w:ind w:firstLine="560" w:firstLineChars="200"/>
        <w:rPr>
          <w:rFonts w:ascii="Times New Roman" w:hAnsi="Times New Roman" w:eastAsia="宋体" w:cs="Times New Roman"/>
          <w:kern w:val="0"/>
          <w:sz w:val="28"/>
          <w:szCs w:val="28"/>
        </w:rPr>
      </w:pPr>
      <w:r>
        <w:rPr>
          <w:rFonts w:ascii="Times New Roman" w:hAnsi="Times New Roman" w:eastAsia="宋体" w:cs="Times New Roman"/>
          <w:kern w:val="0"/>
          <w:sz w:val="28"/>
          <w:szCs w:val="28"/>
        </w:rPr>
        <w:t>无。</w:t>
      </w:r>
    </w:p>
    <w:p w14:paraId="02F50017">
      <w:pPr>
        <w:spacing w:line="540" w:lineRule="exact"/>
        <w:ind w:firstLine="560" w:firstLineChars="200"/>
        <w:rPr>
          <w:rFonts w:ascii="Times New Roman" w:hAnsi="Times New Roman" w:eastAsia="宋体" w:cs="Times New Roman"/>
          <w:kern w:val="0"/>
          <w:sz w:val="28"/>
          <w:szCs w:val="28"/>
        </w:rPr>
      </w:pPr>
    </w:p>
    <w:sectPr>
      <w:footerReference r:id="rId4" w:type="default"/>
      <w:pgSz w:w="11906" w:h="16838"/>
      <w:pgMar w:top="1418" w:right="1418" w:bottom="1985" w:left="1797"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Cambria Math">
    <w:panose1 w:val="02040503050406030204"/>
    <w:charset w:val="00"/>
    <w:family w:val="roman"/>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2334B">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B6CF5">
    <w:pPr>
      <w:pStyle w:val="8"/>
    </w:pPr>
    <w:r>
      <w:pict>
        <v:shape id="_x0000_s3073" o:spid="_x0000_s3073" o:spt="202" type="#_x0000_t202" style="position:absolute;left:0pt;height:144pt;width:144pt;mso-position-horizontal:center;mso-position-horizontal-relative:margin;mso-position-vertical:center;mso-wrap-style:none;z-index:251659264;mso-width-relative:page;mso-height-relative:page;" filled="f" stroked="f" coordsize="21600,21600">
          <v:path/>
          <v:fill on="f" focussize="0,0"/>
          <v:stroke on="f" joinstyle="miter"/>
          <v:imagedata o:title=""/>
          <o:lock v:ext="edit"/>
          <v:textbox inset="0mm,0mm,0mm,0mm" style="mso-fit-shape-to-text:t;">
            <w:txbxContent>
              <w:p w14:paraId="00E104CD">
                <w:pPr>
                  <w:pStyle w:val="8"/>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9430B3"/>
    <w:multiLevelType w:val="multilevel"/>
    <w:tmpl w:val="019430B3"/>
    <w:lvl w:ilvl="0" w:tentative="0">
      <w:start w:val="1"/>
      <w:numFmt w:val="decimal"/>
      <w:pStyle w:val="30"/>
      <w:lvlText w:val="%1"/>
      <w:lvlJc w:val="left"/>
      <w:pPr>
        <w:ind w:left="425" w:hanging="425"/>
      </w:pPr>
    </w:lvl>
    <w:lvl w:ilvl="1" w:tentative="0">
      <w:start w:val="1"/>
      <w:numFmt w:val="decimal"/>
      <w:pStyle w:val="31"/>
      <w:lvlText w:val="%1.%2"/>
      <w:lvlJc w:val="left"/>
      <w:pPr>
        <w:ind w:left="992" w:hanging="567"/>
      </w:pPr>
    </w:lvl>
    <w:lvl w:ilvl="2" w:tentative="0">
      <w:start w:val="1"/>
      <w:numFmt w:val="decimal"/>
      <w:pStyle w:val="28"/>
      <w:lvlText w:val="%1.%2.%3"/>
      <w:lvlJc w:val="left"/>
      <w:pPr>
        <w:ind w:left="567"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1">
    <w:nsid w:val="079102AD"/>
    <w:multiLevelType w:val="multilevel"/>
    <w:tmpl w:val="079102AD"/>
    <w:lvl w:ilvl="0" w:tentative="0">
      <w:start w:val="1"/>
      <w:numFmt w:val="decimal"/>
      <w:pStyle w:val="57"/>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2">
    <w:nsid w:val="2C5917C3"/>
    <w:multiLevelType w:val="multilevel"/>
    <w:tmpl w:val="2C5917C3"/>
    <w:lvl w:ilvl="0" w:tentative="0">
      <w:start w:val="1"/>
      <w:numFmt w:val="none"/>
      <w:pStyle w:val="50"/>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59"/>
      <w:lvlText w:val=""/>
      <w:lvlJc w:val="left"/>
      <w:pPr>
        <w:ind w:left="851" w:hanging="431"/>
      </w:pPr>
      <w:rPr>
        <w:rFonts w:hint="default" w:ascii="Symbol" w:hAnsi="Symbol"/>
        <w:sz w:val="21"/>
      </w:rPr>
    </w:lvl>
    <w:lvl w:ilvl="2" w:tentative="0">
      <w:start w:val="1"/>
      <w:numFmt w:val="bullet"/>
      <w:pStyle w:val="54"/>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3">
    <w:nsid w:val="48802D1C"/>
    <w:multiLevelType w:val="multilevel"/>
    <w:tmpl w:val="48802D1C"/>
    <w:lvl w:ilvl="0" w:tentative="0">
      <w:start w:val="1"/>
      <w:numFmt w:val="upperLetter"/>
      <w:pStyle w:val="60"/>
      <w:lvlText w:val="%1"/>
      <w:lvlJc w:val="left"/>
      <w:pPr>
        <w:ind w:left="420" w:hanging="420"/>
      </w:pPr>
      <w:rPr>
        <w:rFonts w:hint="eastAsia"/>
      </w:rPr>
    </w:lvl>
    <w:lvl w:ilvl="1" w:tentative="0">
      <w:start w:val="1"/>
      <w:numFmt w:val="decimal"/>
      <w:pStyle w:val="42"/>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4">
    <w:nsid w:val="557C2AF5"/>
    <w:multiLevelType w:val="multilevel"/>
    <w:tmpl w:val="557C2AF5"/>
    <w:lvl w:ilvl="0" w:tentative="0">
      <w:start w:val="1"/>
      <w:numFmt w:val="decimal"/>
      <w:pStyle w:val="49"/>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5">
    <w:nsid w:val="5603797C"/>
    <w:multiLevelType w:val="multilevel"/>
    <w:tmpl w:val="5603797C"/>
    <w:lvl w:ilvl="0" w:tentative="0">
      <w:start w:val="1"/>
      <w:numFmt w:val="upperLetter"/>
      <w:pStyle w:val="61"/>
      <w:suff w:val="space"/>
      <w:lvlText w:val="%1"/>
      <w:lvlJc w:val="left"/>
      <w:pPr>
        <w:ind w:left="425" w:hanging="425"/>
      </w:pPr>
      <w:rPr>
        <w:rFonts w:hint="eastAsia"/>
      </w:rPr>
    </w:lvl>
    <w:lvl w:ilvl="1" w:tentative="0">
      <w:start w:val="1"/>
      <w:numFmt w:val="decimal"/>
      <w:pStyle w:val="3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6">
    <w:nsid w:val="657D3FBC"/>
    <w:multiLevelType w:val="multilevel"/>
    <w:tmpl w:val="657D3FBC"/>
    <w:lvl w:ilvl="0" w:tentative="0">
      <w:start w:val="1"/>
      <w:numFmt w:val="upperLetter"/>
      <w:pStyle w:val="36"/>
      <w:suff w:val="nothing"/>
      <w:lvlText w:val="附录%1"/>
      <w:lvlJc w:val="left"/>
      <w:pPr>
        <w:ind w:left="0" w:firstLine="0"/>
      </w:pPr>
      <w:rPr>
        <w:rFonts w:hint="eastAsia"/>
        <w:spacing w:val="100"/>
      </w:rPr>
    </w:lvl>
    <w:lvl w:ilvl="1" w:tentative="0">
      <w:start w:val="1"/>
      <w:numFmt w:val="decimal"/>
      <w:pStyle w:val="38"/>
      <w:suff w:val="nothing"/>
      <w:lvlText w:val="%1.%2　"/>
      <w:lvlJc w:val="left"/>
      <w:pPr>
        <w:ind w:left="0" w:firstLine="0"/>
      </w:pPr>
      <w:rPr>
        <w:rFonts w:hint="eastAsia" w:ascii="黑体" w:eastAsia="黑体"/>
        <w:b w:val="0"/>
        <w:i w:val="0"/>
        <w:sz w:val="21"/>
      </w:rPr>
    </w:lvl>
    <w:lvl w:ilvl="2" w:tentative="0">
      <w:start w:val="1"/>
      <w:numFmt w:val="decimal"/>
      <w:pStyle w:val="39"/>
      <w:suff w:val="nothing"/>
      <w:lvlText w:val="%1.%2.%3　"/>
      <w:lvlJc w:val="left"/>
      <w:pPr>
        <w:ind w:left="0" w:firstLine="0"/>
      </w:pPr>
      <w:rPr>
        <w:rFonts w:hint="eastAsia" w:ascii="黑体" w:eastAsia="黑体"/>
        <w:b w:val="0"/>
        <w:i w:val="0"/>
        <w:sz w:val="21"/>
      </w:rPr>
    </w:lvl>
    <w:lvl w:ilvl="3" w:tentative="0">
      <w:start w:val="1"/>
      <w:numFmt w:val="decimal"/>
      <w:pStyle w:val="40"/>
      <w:suff w:val="nothing"/>
      <w:lvlText w:val="%1.%2.%3.%4　"/>
      <w:lvlJc w:val="left"/>
      <w:pPr>
        <w:ind w:left="0" w:firstLine="0"/>
      </w:pPr>
      <w:rPr>
        <w:rFonts w:hint="eastAsia" w:ascii="黑体" w:eastAsia="黑体"/>
        <w:b w:val="0"/>
        <w:i w:val="0"/>
        <w:sz w:val="21"/>
      </w:rPr>
    </w:lvl>
    <w:lvl w:ilvl="4" w:tentative="0">
      <w:start w:val="1"/>
      <w:numFmt w:val="decimal"/>
      <w:pStyle w:val="41"/>
      <w:suff w:val="nothing"/>
      <w:lvlText w:val="%1.%2.%3.%4.%5　"/>
      <w:lvlJc w:val="left"/>
      <w:pPr>
        <w:ind w:left="0" w:firstLine="0"/>
      </w:pPr>
      <w:rPr>
        <w:rFonts w:hint="eastAsia" w:ascii="黑体" w:eastAsia="黑体"/>
        <w:b w:val="0"/>
        <w:i w:val="0"/>
        <w:sz w:val="21"/>
      </w:rPr>
    </w:lvl>
    <w:lvl w:ilvl="5" w:tentative="0">
      <w:start w:val="1"/>
      <w:numFmt w:val="decimal"/>
      <w:pStyle w:val="43"/>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7">
    <w:nsid w:val="6CEA2025"/>
    <w:multiLevelType w:val="multilevel"/>
    <w:tmpl w:val="6CEA2025"/>
    <w:lvl w:ilvl="0" w:tentative="0">
      <w:start w:val="1"/>
      <w:numFmt w:val="none"/>
      <w:pStyle w:val="51"/>
      <w:suff w:val="nothing"/>
      <w:lvlText w:val="%1"/>
      <w:lvlJc w:val="left"/>
      <w:pPr>
        <w:ind w:left="0" w:firstLine="0"/>
      </w:pPr>
      <w:rPr>
        <w:rFonts w:hint="eastAsia"/>
      </w:rPr>
    </w:lvl>
    <w:lvl w:ilvl="1" w:tentative="0">
      <w:start w:val="1"/>
      <w:numFmt w:val="decimal"/>
      <w:pStyle w:val="47"/>
      <w:suff w:val="nothing"/>
      <w:lvlText w:val="%1%2　"/>
      <w:lvlJc w:val="left"/>
      <w:pPr>
        <w:ind w:left="0" w:firstLine="0"/>
      </w:pPr>
      <w:rPr>
        <w:rFonts w:hint="eastAsia" w:ascii="黑体" w:eastAsia="黑体"/>
        <w:b w:val="0"/>
        <w:i w:val="0"/>
        <w:sz w:val="21"/>
      </w:rPr>
    </w:lvl>
    <w:lvl w:ilvl="2" w:tentative="0">
      <w:start w:val="1"/>
      <w:numFmt w:val="decimal"/>
      <w:pStyle w:val="48"/>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35"/>
      <w:suff w:val="nothing"/>
      <w:lvlText w:val="%1%2.%3.%4　"/>
      <w:lvlJc w:val="left"/>
      <w:pPr>
        <w:ind w:left="0" w:firstLine="0"/>
      </w:pPr>
      <w:rPr>
        <w:rFonts w:hint="eastAsia" w:ascii="黑体" w:eastAsia="黑体"/>
        <w:b w:val="0"/>
        <w:i w:val="0"/>
        <w:sz w:val="21"/>
      </w:rPr>
    </w:lvl>
    <w:lvl w:ilvl="4" w:tentative="0">
      <w:start w:val="1"/>
      <w:numFmt w:val="decimal"/>
      <w:pStyle w:val="44"/>
      <w:suff w:val="nothing"/>
      <w:lvlText w:val="%1%2.%3.%4.%5　"/>
      <w:lvlJc w:val="left"/>
      <w:pPr>
        <w:ind w:left="0" w:firstLine="0"/>
      </w:pPr>
      <w:rPr>
        <w:rFonts w:hint="eastAsia" w:ascii="黑体" w:eastAsia="黑体"/>
        <w:b w:val="0"/>
        <w:i w:val="0"/>
        <w:sz w:val="21"/>
      </w:rPr>
    </w:lvl>
    <w:lvl w:ilvl="5" w:tentative="0">
      <w:start w:val="1"/>
      <w:numFmt w:val="decimal"/>
      <w:pStyle w:val="45"/>
      <w:suff w:val="nothing"/>
      <w:lvlText w:val="%1%2.%3.%4.%5.%6　"/>
      <w:lvlJc w:val="left"/>
      <w:pPr>
        <w:ind w:left="0" w:firstLine="0"/>
      </w:pPr>
      <w:rPr>
        <w:rFonts w:hint="eastAsia" w:ascii="黑体" w:eastAsia="黑体"/>
        <w:b w:val="0"/>
        <w:i w:val="0"/>
        <w:sz w:val="21"/>
      </w:rPr>
    </w:lvl>
    <w:lvl w:ilvl="6" w:tentative="0">
      <w:start w:val="1"/>
      <w:numFmt w:val="decimal"/>
      <w:pStyle w:val="46"/>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8">
    <w:nsid w:val="6DBF04F4"/>
    <w:multiLevelType w:val="multilevel"/>
    <w:tmpl w:val="6DBF04F4"/>
    <w:lvl w:ilvl="0" w:tentative="0">
      <w:start w:val="1"/>
      <w:numFmt w:val="none"/>
      <w:pStyle w:val="56"/>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0"/>
  </w:num>
  <w:num w:numId="2">
    <w:abstractNumId w:val="7"/>
  </w:num>
  <w:num w:numId="3">
    <w:abstractNumId w:val="6"/>
  </w:num>
  <w:num w:numId="4">
    <w:abstractNumId w:val="5"/>
  </w:num>
  <w:num w:numId="5">
    <w:abstractNumId w:val="3"/>
  </w:num>
  <w:num w:numId="6">
    <w:abstractNumId w:val="4"/>
  </w:num>
  <w:num w:numId="7">
    <w:abstractNumId w:val="2"/>
  </w:num>
  <w:num w:numId="8">
    <w:abstractNumId w:val="8"/>
  </w:num>
  <w:num w:numId="9">
    <w:abstractNumId w:val="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BjNmNlZTRkMmZjYmYyZTM5OTBkZjEzNTRhZTU4MGUifQ=="/>
  </w:docVars>
  <w:rsids>
    <w:rsidRoot w:val="00BF050A"/>
    <w:rsid w:val="00014360"/>
    <w:rsid w:val="00014AE8"/>
    <w:rsid w:val="0002253B"/>
    <w:rsid w:val="0004018C"/>
    <w:rsid w:val="000413D1"/>
    <w:rsid w:val="00044B03"/>
    <w:rsid w:val="000564F6"/>
    <w:rsid w:val="00057C50"/>
    <w:rsid w:val="0007271C"/>
    <w:rsid w:val="00077B87"/>
    <w:rsid w:val="00083D62"/>
    <w:rsid w:val="00093711"/>
    <w:rsid w:val="000C0FA6"/>
    <w:rsid w:val="000C5572"/>
    <w:rsid w:val="000C6ED2"/>
    <w:rsid w:val="000E0EB3"/>
    <w:rsid w:val="00101337"/>
    <w:rsid w:val="00106D8E"/>
    <w:rsid w:val="00107FA6"/>
    <w:rsid w:val="001336A7"/>
    <w:rsid w:val="001366DD"/>
    <w:rsid w:val="001407D3"/>
    <w:rsid w:val="0014129B"/>
    <w:rsid w:val="00176CC1"/>
    <w:rsid w:val="00182A0A"/>
    <w:rsid w:val="00186B0A"/>
    <w:rsid w:val="001916AE"/>
    <w:rsid w:val="00194D9F"/>
    <w:rsid w:val="00194FB0"/>
    <w:rsid w:val="001A069A"/>
    <w:rsid w:val="001A095D"/>
    <w:rsid w:val="001A2436"/>
    <w:rsid w:val="001C225F"/>
    <w:rsid w:val="001C4546"/>
    <w:rsid w:val="001D062E"/>
    <w:rsid w:val="001E59EA"/>
    <w:rsid w:val="00203343"/>
    <w:rsid w:val="00210B1B"/>
    <w:rsid w:val="0022590F"/>
    <w:rsid w:val="00231E76"/>
    <w:rsid w:val="002506EB"/>
    <w:rsid w:val="0025166A"/>
    <w:rsid w:val="002645BB"/>
    <w:rsid w:val="00277345"/>
    <w:rsid w:val="0027791C"/>
    <w:rsid w:val="0028530B"/>
    <w:rsid w:val="00285841"/>
    <w:rsid w:val="00287D61"/>
    <w:rsid w:val="00293048"/>
    <w:rsid w:val="002A391A"/>
    <w:rsid w:val="002C04B6"/>
    <w:rsid w:val="002D3A9F"/>
    <w:rsid w:val="002E2B56"/>
    <w:rsid w:val="002F3045"/>
    <w:rsid w:val="00305109"/>
    <w:rsid w:val="0031256A"/>
    <w:rsid w:val="0031561A"/>
    <w:rsid w:val="00317D74"/>
    <w:rsid w:val="003257DB"/>
    <w:rsid w:val="00352B42"/>
    <w:rsid w:val="00357168"/>
    <w:rsid w:val="00360683"/>
    <w:rsid w:val="0036737F"/>
    <w:rsid w:val="00373823"/>
    <w:rsid w:val="003813CC"/>
    <w:rsid w:val="00382E74"/>
    <w:rsid w:val="003A00FA"/>
    <w:rsid w:val="003A0364"/>
    <w:rsid w:val="003A509B"/>
    <w:rsid w:val="003B6441"/>
    <w:rsid w:val="003C1B72"/>
    <w:rsid w:val="003F7535"/>
    <w:rsid w:val="00401889"/>
    <w:rsid w:val="00410BC2"/>
    <w:rsid w:val="00413119"/>
    <w:rsid w:val="004172C0"/>
    <w:rsid w:val="004252F2"/>
    <w:rsid w:val="004276CF"/>
    <w:rsid w:val="00430513"/>
    <w:rsid w:val="00435663"/>
    <w:rsid w:val="00436EE9"/>
    <w:rsid w:val="00463563"/>
    <w:rsid w:val="004803B5"/>
    <w:rsid w:val="004B2F65"/>
    <w:rsid w:val="004B6E6F"/>
    <w:rsid w:val="004F08C5"/>
    <w:rsid w:val="004F4747"/>
    <w:rsid w:val="004F6F77"/>
    <w:rsid w:val="0050411A"/>
    <w:rsid w:val="00505FBC"/>
    <w:rsid w:val="00520FFB"/>
    <w:rsid w:val="005251AE"/>
    <w:rsid w:val="00534D5E"/>
    <w:rsid w:val="00534FAE"/>
    <w:rsid w:val="00545EB7"/>
    <w:rsid w:val="00583F98"/>
    <w:rsid w:val="00596690"/>
    <w:rsid w:val="005A4896"/>
    <w:rsid w:val="005A674C"/>
    <w:rsid w:val="005B7647"/>
    <w:rsid w:val="005C5F36"/>
    <w:rsid w:val="005D5269"/>
    <w:rsid w:val="005D56E9"/>
    <w:rsid w:val="005F13A9"/>
    <w:rsid w:val="00601423"/>
    <w:rsid w:val="00606BF2"/>
    <w:rsid w:val="006252E3"/>
    <w:rsid w:val="00650FED"/>
    <w:rsid w:val="006878C7"/>
    <w:rsid w:val="006965B4"/>
    <w:rsid w:val="006A01A1"/>
    <w:rsid w:val="006B0B1B"/>
    <w:rsid w:val="006B6D21"/>
    <w:rsid w:val="006B75F5"/>
    <w:rsid w:val="006E5B41"/>
    <w:rsid w:val="006F64E7"/>
    <w:rsid w:val="00705D75"/>
    <w:rsid w:val="007417C1"/>
    <w:rsid w:val="00746F2B"/>
    <w:rsid w:val="00747D95"/>
    <w:rsid w:val="00752097"/>
    <w:rsid w:val="00756D5D"/>
    <w:rsid w:val="00761E21"/>
    <w:rsid w:val="00776D4B"/>
    <w:rsid w:val="0079502D"/>
    <w:rsid w:val="00795550"/>
    <w:rsid w:val="007A2FC6"/>
    <w:rsid w:val="007A5AAC"/>
    <w:rsid w:val="007C21C2"/>
    <w:rsid w:val="007D4B87"/>
    <w:rsid w:val="007E4007"/>
    <w:rsid w:val="0082096B"/>
    <w:rsid w:val="008257DF"/>
    <w:rsid w:val="008368E2"/>
    <w:rsid w:val="008517A7"/>
    <w:rsid w:val="008618FE"/>
    <w:rsid w:val="008665F7"/>
    <w:rsid w:val="0086666E"/>
    <w:rsid w:val="00870FA5"/>
    <w:rsid w:val="00874660"/>
    <w:rsid w:val="008A766F"/>
    <w:rsid w:val="008B18A3"/>
    <w:rsid w:val="008B34EE"/>
    <w:rsid w:val="008E0867"/>
    <w:rsid w:val="008F54B9"/>
    <w:rsid w:val="008F5B83"/>
    <w:rsid w:val="00910049"/>
    <w:rsid w:val="0091708A"/>
    <w:rsid w:val="00932F00"/>
    <w:rsid w:val="00966791"/>
    <w:rsid w:val="00970E88"/>
    <w:rsid w:val="0097271F"/>
    <w:rsid w:val="00981821"/>
    <w:rsid w:val="00986C8E"/>
    <w:rsid w:val="00987820"/>
    <w:rsid w:val="009943E0"/>
    <w:rsid w:val="009A16C4"/>
    <w:rsid w:val="009A27FC"/>
    <w:rsid w:val="009A488E"/>
    <w:rsid w:val="009A5078"/>
    <w:rsid w:val="009A6F90"/>
    <w:rsid w:val="009B1FF6"/>
    <w:rsid w:val="009C3768"/>
    <w:rsid w:val="009D56C3"/>
    <w:rsid w:val="009E6D91"/>
    <w:rsid w:val="009F0E3F"/>
    <w:rsid w:val="009F7A24"/>
    <w:rsid w:val="00A0329A"/>
    <w:rsid w:val="00A06F10"/>
    <w:rsid w:val="00A262E4"/>
    <w:rsid w:val="00A27845"/>
    <w:rsid w:val="00A31084"/>
    <w:rsid w:val="00A42C32"/>
    <w:rsid w:val="00A44A72"/>
    <w:rsid w:val="00A4610C"/>
    <w:rsid w:val="00A50B02"/>
    <w:rsid w:val="00A54455"/>
    <w:rsid w:val="00A5702C"/>
    <w:rsid w:val="00A6194C"/>
    <w:rsid w:val="00A64776"/>
    <w:rsid w:val="00A80365"/>
    <w:rsid w:val="00A83680"/>
    <w:rsid w:val="00A91142"/>
    <w:rsid w:val="00AB1353"/>
    <w:rsid w:val="00AC01B1"/>
    <w:rsid w:val="00AC09D3"/>
    <w:rsid w:val="00AD0EA1"/>
    <w:rsid w:val="00AD2695"/>
    <w:rsid w:val="00AD39DA"/>
    <w:rsid w:val="00AF01D8"/>
    <w:rsid w:val="00B01C45"/>
    <w:rsid w:val="00B041DD"/>
    <w:rsid w:val="00B05A42"/>
    <w:rsid w:val="00B114B6"/>
    <w:rsid w:val="00B22220"/>
    <w:rsid w:val="00B45753"/>
    <w:rsid w:val="00B47E66"/>
    <w:rsid w:val="00B743AB"/>
    <w:rsid w:val="00B803DE"/>
    <w:rsid w:val="00B97970"/>
    <w:rsid w:val="00BA15CF"/>
    <w:rsid w:val="00BA3C4F"/>
    <w:rsid w:val="00BB2288"/>
    <w:rsid w:val="00BB3D50"/>
    <w:rsid w:val="00BB5CFC"/>
    <w:rsid w:val="00BC18B9"/>
    <w:rsid w:val="00BC3BB1"/>
    <w:rsid w:val="00BD4F24"/>
    <w:rsid w:val="00BE6F2E"/>
    <w:rsid w:val="00BF050A"/>
    <w:rsid w:val="00BF746A"/>
    <w:rsid w:val="00C21DF8"/>
    <w:rsid w:val="00C23788"/>
    <w:rsid w:val="00C37003"/>
    <w:rsid w:val="00C42392"/>
    <w:rsid w:val="00C51238"/>
    <w:rsid w:val="00C52B4D"/>
    <w:rsid w:val="00C62D4B"/>
    <w:rsid w:val="00C70FF4"/>
    <w:rsid w:val="00C869DA"/>
    <w:rsid w:val="00C9265C"/>
    <w:rsid w:val="00CA5205"/>
    <w:rsid w:val="00CB0852"/>
    <w:rsid w:val="00CB2FF6"/>
    <w:rsid w:val="00D06630"/>
    <w:rsid w:val="00D237D4"/>
    <w:rsid w:val="00D30ADB"/>
    <w:rsid w:val="00D311EA"/>
    <w:rsid w:val="00D45944"/>
    <w:rsid w:val="00D77694"/>
    <w:rsid w:val="00D80910"/>
    <w:rsid w:val="00D81489"/>
    <w:rsid w:val="00D837B2"/>
    <w:rsid w:val="00D96D94"/>
    <w:rsid w:val="00DB46BB"/>
    <w:rsid w:val="00DB5CCC"/>
    <w:rsid w:val="00DD0DFD"/>
    <w:rsid w:val="00DE3ACA"/>
    <w:rsid w:val="00DE7470"/>
    <w:rsid w:val="00E0481B"/>
    <w:rsid w:val="00E15D39"/>
    <w:rsid w:val="00E16774"/>
    <w:rsid w:val="00E33675"/>
    <w:rsid w:val="00E34260"/>
    <w:rsid w:val="00E40AC7"/>
    <w:rsid w:val="00E43D54"/>
    <w:rsid w:val="00E6367D"/>
    <w:rsid w:val="00E6636F"/>
    <w:rsid w:val="00E66D9D"/>
    <w:rsid w:val="00E673E8"/>
    <w:rsid w:val="00E85E1E"/>
    <w:rsid w:val="00E866B8"/>
    <w:rsid w:val="00E92169"/>
    <w:rsid w:val="00EA0AC1"/>
    <w:rsid w:val="00EC6BB9"/>
    <w:rsid w:val="00EC777A"/>
    <w:rsid w:val="00ED0D16"/>
    <w:rsid w:val="00ED17F5"/>
    <w:rsid w:val="00ED19A1"/>
    <w:rsid w:val="00ED28CC"/>
    <w:rsid w:val="00EE3B0A"/>
    <w:rsid w:val="00EF1BF1"/>
    <w:rsid w:val="00F02E72"/>
    <w:rsid w:val="00F0509E"/>
    <w:rsid w:val="00F06A1A"/>
    <w:rsid w:val="00F27E12"/>
    <w:rsid w:val="00F319AF"/>
    <w:rsid w:val="00F36E7F"/>
    <w:rsid w:val="00F40C1D"/>
    <w:rsid w:val="00F43CD1"/>
    <w:rsid w:val="00F51C15"/>
    <w:rsid w:val="00F741B8"/>
    <w:rsid w:val="00F878B5"/>
    <w:rsid w:val="00F91EFF"/>
    <w:rsid w:val="00F92513"/>
    <w:rsid w:val="00F943A4"/>
    <w:rsid w:val="00F96275"/>
    <w:rsid w:val="00F97976"/>
    <w:rsid w:val="00FB5476"/>
    <w:rsid w:val="00FC26FD"/>
    <w:rsid w:val="00FE00B0"/>
    <w:rsid w:val="00FE5339"/>
    <w:rsid w:val="00FE720E"/>
    <w:rsid w:val="00FF7FD9"/>
    <w:rsid w:val="0FF06439"/>
    <w:rsid w:val="169901DF"/>
    <w:rsid w:val="170D2EB2"/>
    <w:rsid w:val="1F15287C"/>
    <w:rsid w:val="255B6B18"/>
    <w:rsid w:val="2C2D1EE2"/>
    <w:rsid w:val="2D467F37"/>
    <w:rsid w:val="2DAD6C8F"/>
    <w:rsid w:val="3AFC0F1D"/>
    <w:rsid w:val="40E14CE3"/>
    <w:rsid w:val="542D0422"/>
    <w:rsid w:val="57BF1D4F"/>
    <w:rsid w:val="663F4E49"/>
    <w:rsid w:val="67A80C44"/>
    <w:rsid w:val="68C30330"/>
    <w:rsid w:val="6B9E6287"/>
    <w:rsid w:val="6E433E9B"/>
    <w:rsid w:val="6FF12124"/>
    <w:rsid w:val="706C61B1"/>
    <w:rsid w:val="721F5CDA"/>
    <w:rsid w:val="729E236D"/>
    <w:rsid w:val="79E74A2C"/>
    <w:rsid w:val="7C103D46"/>
    <w:rsid w:val="7C324657"/>
    <w:rsid w:val="7D810938"/>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qFormat="1" w:unhideWhenUsed="0"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6"/>
    <w:unhideWhenUsed/>
    <w:qFormat/>
    <w:uiPriority w:val="9"/>
    <w:pPr>
      <w:keepNext/>
      <w:keepLines/>
      <w:adjustRightInd w:val="0"/>
      <w:snapToGrid w:val="0"/>
      <w:spacing w:line="360" w:lineRule="auto"/>
      <w:outlineLvl w:val="2"/>
    </w:pPr>
    <w:rPr>
      <w:rFonts w:ascii="Times New Roman" w:hAnsi="Times New Roman"/>
      <w:b/>
      <w:bCs/>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caption"/>
    <w:basedOn w:val="1"/>
    <w:next w:val="1"/>
    <w:unhideWhenUsed/>
    <w:qFormat/>
    <w:uiPriority w:val="35"/>
    <w:pPr>
      <w:jc w:val="center"/>
    </w:pPr>
    <w:rPr>
      <w:rFonts w:eastAsia="黑体" w:asciiTheme="majorHAnsi" w:hAnsiTheme="majorHAnsi" w:cstheme="majorBidi"/>
      <w:szCs w:val="20"/>
    </w:rPr>
  </w:style>
  <w:style w:type="paragraph" w:styleId="4">
    <w:name w:val="Body Text Indent"/>
    <w:basedOn w:val="1"/>
    <w:link w:val="27"/>
    <w:autoRedefine/>
    <w:qFormat/>
    <w:uiPriority w:val="0"/>
    <w:pPr>
      <w:spacing w:line="300" w:lineRule="auto"/>
      <w:ind w:firstLine="420" w:firstLineChars="200"/>
    </w:pPr>
    <w:rPr>
      <w:rFonts w:ascii="Times New Roman" w:hAnsi="宋体" w:eastAsia="宋体" w:cs="Times New Roman"/>
      <w:szCs w:val="20"/>
    </w:rPr>
  </w:style>
  <w:style w:type="paragraph" w:styleId="5">
    <w:name w:val="Date"/>
    <w:basedOn w:val="1"/>
    <w:next w:val="1"/>
    <w:link w:val="26"/>
    <w:autoRedefine/>
    <w:semiHidden/>
    <w:unhideWhenUsed/>
    <w:qFormat/>
    <w:uiPriority w:val="99"/>
    <w:pPr>
      <w:ind w:left="100" w:leftChars="2500"/>
    </w:pPr>
  </w:style>
  <w:style w:type="paragraph" w:styleId="6">
    <w:name w:val="endnote text"/>
    <w:basedOn w:val="1"/>
    <w:link w:val="24"/>
    <w:autoRedefine/>
    <w:qFormat/>
    <w:uiPriority w:val="99"/>
    <w:pPr>
      <w:snapToGrid w:val="0"/>
      <w:jc w:val="left"/>
    </w:pPr>
    <w:rPr>
      <w:rFonts w:ascii="Calibri" w:hAnsi="Calibri" w:eastAsia="宋体" w:cs="Times New Roman"/>
      <w:szCs w:val="24"/>
    </w:rPr>
  </w:style>
  <w:style w:type="paragraph" w:styleId="7">
    <w:name w:val="Balloon Text"/>
    <w:basedOn w:val="1"/>
    <w:link w:val="23"/>
    <w:autoRedefine/>
    <w:semiHidden/>
    <w:unhideWhenUsed/>
    <w:qFormat/>
    <w:uiPriority w:val="99"/>
    <w:rPr>
      <w:sz w:val="18"/>
      <w:szCs w:val="18"/>
    </w:rPr>
  </w:style>
  <w:style w:type="paragraph" w:styleId="8">
    <w:name w:val="footer"/>
    <w:basedOn w:val="1"/>
    <w:link w:val="17"/>
    <w:unhideWhenUsed/>
    <w:qFormat/>
    <w:uiPriority w:val="99"/>
    <w:pPr>
      <w:tabs>
        <w:tab w:val="center" w:pos="4153"/>
        <w:tab w:val="right" w:pos="8306"/>
      </w:tabs>
      <w:snapToGrid w:val="0"/>
      <w:jc w:val="left"/>
    </w:pPr>
    <w:rPr>
      <w:sz w:val="18"/>
      <w:szCs w:val="18"/>
    </w:rPr>
  </w:style>
  <w:style w:type="paragraph" w:styleId="9">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semiHidden/>
    <w:unhideWhenUsed/>
    <w:qFormat/>
    <w:uiPriority w:val="39"/>
  </w:style>
  <w:style w:type="paragraph" w:styleId="11">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customStyle="1" w:styleId="16">
    <w:name w:val="标题 3 字符"/>
    <w:basedOn w:val="14"/>
    <w:link w:val="2"/>
    <w:autoRedefine/>
    <w:qFormat/>
    <w:uiPriority w:val="9"/>
    <w:rPr>
      <w:rFonts w:ascii="Times New Roman" w:hAnsi="Times New Roman"/>
      <w:b/>
      <w:bCs/>
      <w:szCs w:val="32"/>
    </w:rPr>
  </w:style>
  <w:style w:type="character" w:customStyle="1" w:styleId="17">
    <w:name w:val="页脚 字符"/>
    <w:basedOn w:val="14"/>
    <w:link w:val="8"/>
    <w:qFormat/>
    <w:uiPriority w:val="99"/>
    <w:rPr>
      <w:sz w:val="18"/>
      <w:szCs w:val="18"/>
    </w:rPr>
  </w:style>
  <w:style w:type="paragraph" w:styleId="18">
    <w:name w:val="List Paragraph"/>
    <w:basedOn w:val="1"/>
    <w:autoRedefine/>
    <w:qFormat/>
    <w:uiPriority w:val="34"/>
    <w:pPr>
      <w:ind w:firstLine="420" w:firstLineChars="200"/>
    </w:pPr>
  </w:style>
  <w:style w:type="paragraph" w:customStyle="1" w:styleId="19">
    <w:name w:val="段"/>
    <w:link w:val="20"/>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0">
    <w:name w:val="段 Char"/>
    <w:link w:val="19"/>
    <w:autoRedefine/>
    <w:qFormat/>
    <w:uiPriority w:val="0"/>
    <w:rPr>
      <w:rFonts w:ascii="宋体" w:hAnsi="Times New Roman" w:eastAsia="宋体" w:cs="Times New Roman"/>
      <w:kern w:val="0"/>
      <w:szCs w:val="20"/>
    </w:rPr>
  </w:style>
  <w:style w:type="table" w:customStyle="1" w:styleId="21">
    <w:name w:val="浅色底纹1"/>
    <w:basedOn w:val="12"/>
    <w:autoRedefine/>
    <w:qFormat/>
    <w:uiPriority w:val="60"/>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character" w:customStyle="1" w:styleId="22">
    <w:name w:val="页眉 字符"/>
    <w:basedOn w:val="14"/>
    <w:link w:val="9"/>
    <w:autoRedefine/>
    <w:qFormat/>
    <w:uiPriority w:val="99"/>
    <w:rPr>
      <w:sz w:val="18"/>
      <w:szCs w:val="18"/>
    </w:rPr>
  </w:style>
  <w:style w:type="character" w:customStyle="1" w:styleId="23">
    <w:name w:val="批注框文本 字符"/>
    <w:basedOn w:val="14"/>
    <w:link w:val="7"/>
    <w:autoRedefine/>
    <w:semiHidden/>
    <w:qFormat/>
    <w:uiPriority w:val="99"/>
    <w:rPr>
      <w:sz w:val="18"/>
      <w:szCs w:val="18"/>
    </w:rPr>
  </w:style>
  <w:style w:type="character" w:customStyle="1" w:styleId="24">
    <w:name w:val="尾注文本 字符"/>
    <w:basedOn w:val="14"/>
    <w:link w:val="6"/>
    <w:autoRedefine/>
    <w:qFormat/>
    <w:uiPriority w:val="99"/>
    <w:rPr>
      <w:rFonts w:ascii="Calibri" w:hAnsi="Calibri" w:eastAsia="宋体" w:cs="Times New Roman"/>
      <w:szCs w:val="24"/>
    </w:rPr>
  </w:style>
  <w:style w:type="table" w:customStyle="1" w:styleId="25">
    <w:name w:val="网格型1"/>
    <w:basedOn w:val="12"/>
    <w:autoRedefine/>
    <w:qFormat/>
    <w:uiPriority w:val="59"/>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
    <w:name w:val="日期 字符"/>
    <w:basedOn w:val="14"/>
    <w:link w:val="5"/>
    <w:autoRedefine/>
    <w:semiHidden/>
    <w:qFormat/>
    <w:uiPriority w:val="99"/>
  </w:style>
  <w:style w:type="character" w:customStyle="1" w:styleId="27">
    <w:name w:val="正文文本缩进 字符"/>
    <w:basedOn w:val="14"/>
    <w:link w:val="4"/>
    <w:autoRedefine/>
    <w:qFormat/>
    <w:uiPriority w:val="0"/>
    <w:rPr>
      <w:rFonts w:ascii="Times New Roman" w:hAnsi="宋体" w:eastAsia="宋体" w:cs="Times New Roman"/>
      <w:szCs w:val="20"/>
    </w:rPr>
  </w:style>
  <w:style w:type="paragraph" w:customStyle="1" w:styleId="28">
    <w:name w:val="二级条标题"/>
    <w:basedOn w:val="1"/>
    <w:next w:val="19"/>
    <w:autoRedefine/>
    <w:qFormat/>
    <w:uiPriority w:val="0"/>
    <w:pPr>
      <w:widowControl/>
      <w:numPr>
        <w:ilvl w:val="2"/>
        <w:numId w:val="1"/>
      </w:numPr>
      <w:spacing w:beforeLines="50" w:afterLines="50"/>
      <w:jc w:val="left"/>
      <w:outlineLvl w:val="3"/>
    </w:pPr>
    <w:rPr>
      <w:rFonts w:ascii="黑体" w:hAnsi="Times New Roman" w:eastAsia="黑体" w:cs="Times New Roman"/>
      <w:kern w:val="0"/>
      <w:szCs w:val="21"/>
    </w:rPr>
  </w:style>
  <w:style w:type="character" w:customStyle="1" w:styleId="29">
    <w:name w:val="headline-content2"/>
    <w:basedOn w:val="14"/>
    <w:autoRedefine/>
    <w:qFormat/>
    <w:uiPriority w:val="0"/>
  </w:style>
  <w:style w:type="paragraph" w:customStyle="1" w:styleId="30">
    <w:name w:val="章标题"/>
    <w:next w:val="19"/>
    <w:autoRedefine/>
    <w:qFormat/>
    <w:uiPriority w:val="0"/>
    <w:pPr>
      <w:numPr>
        <w:ilvl w:val="0"/>
        <w:numId w:val="1"/>
      </w:numPr>
      <w:spacing w:beforeLines="100" w:afterLines="100"/>
      <w:ind w:left="426"/>
      <w:jc w:val="both"/>
      <w:outlineLvl w:val="1"/>
    </w:pPr>
    <w:rPr>
      <w:rFonts w:ascii="黑体" w:hAnsi="Times New Roman" w:eastAsia="黑体" w:cs="Times New Roman"/>
      <w:sz w:val="21"/>
      <w:lang w:val="en-US" w:eastAsia="zh-CN" w:bidi="ar-SA"/>
    </w:rPr>
  </w:style>
  <w:style w:type="paragraph" w:customStyle="1" w:styleId="31">
    <w:name w:val="一级条标题"/>
    <w:next w:val="19"/>
    <w:autoRedefine/>
    <w:qFormat/>
    <w:uiPriority w:val="0"/>
    <w:pPr>
      <w:numPr>
        <w:ilvl w:val="1"/>
        <w:numId w:val="1"/>
      </w:numPr>
      <w:spacing w:beforeLines="50" w:afterLines="50"/>
      <w:ind w:left="0"/>
      <w:outlineLvl w:val="2"/>
    </w:pPr>
    <w:rPr>
      <w:rFonts w:ascii="黑体" w:hAnsi="Times New Roman" w:eastAsia="黑体" w:cs="Times New Roman"/>
      <w:sz w:val="21"/>
      <w:szCs w:val="21"/>
      <w:lang w:val="en-US" w:eastAsia="zh-CN" w:bidi="ar-SA"/>
    </w:rPr>
  </w:style>
  <w:style w:type="paragraph" w:customStyle="1" w:styleId="32">
    <w:name w:val="二级无"/>
    <w:basedOn w:val="28"/>
    <w:autoRedefine/>
    <w:qFormat/>
    <w:uiPriority w:val="0"/>
    <w:pPr>
      <w:spacing w:beforeLines="0" w:afterLines="0"/>
      <w:ind w:left="0" w:firstLine="0"/>
    </w:pPr>
    <w:rPr>
      <w:rFonts w:ascii="宋体" w:eastAsia="宋体"/>
    </w:rPr>
  </w:style>
  <w:style w:type="paragraph" w:customStyle="1" w:styleId="33">
    <w:name w:val="WPSOffice手动目录 1"/>
    <w:autoRedefine/>
    <w:qFormat/>
    <w:uiPriority w:val="0"/>
    <w:rPr>
      <w:rFonts w:asciiTheme="minorHAnsi" w:hAnsiTheme="minorHAnsi" w:eastAsiaTheme="minorEastAsia" w:cstheme="minorBidi"/>
      <w:lang w:val="en-US" w:eastAsia="zh-CN" w:bidi="ar-SA"/>
    </w:rPr>
  </w:style>
  <w:style w:type="paragraph" w:customStyle="1" w:styleId="34">
    <w:name w:val="标准文件_段"/>
    <w:link w:val="58"/>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5">
    <w:name w:val="标准文件_二级条标题"/>
    <w:next w:val="34"/>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36">
    <w:name w:val="标准文件_附录标识"/>
    <w:next w:val="34"/>
    <w:qFormat/>
    <w:uiPriority w:val="0"/>
    <w:pPr>
      <w:numPr>
        <w:ilvl w:val="0"/>
        <w:numId w:val="3"/>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37">
    <w:name w:val="标准文件_附录表标题"/>
    <w:next w:val="34"/>
    <w:qFormat/>
    <w:uiPriority w:val="0"/>
    <w:pPr>
      <w:numPr>
        <w:ilvl w:val="1"/>
        <w:numId w:val="4"/>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38">
    <w:name w:val="标准文件_附录一级条标题"/>
    <w:next w:val="34"/>
    <w:qFormat/>
    <w:uiPriority w:val="0"/>
    <w:pPr>
      <w:widowControl w:val="0"/>
      <w:numPr>
        <w:ilvl w:val="1"/>
        <w:numId w:val="3"/>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39">
    <w:name w:val="标准文件_附录二级条标题"/>
    <w:basedOn w:val="38"/>
    <w:next w:val="34"/>
    <w:qFormat/>
    <w:uiPriority w:val="0"/>
    <w:pPr>
      <w:widowControl/>
      <w:numPr>
        <w:ilvl w:val="2"/>
      </w:numPr>
      <w:wordWrap w:val="0"/>
      <w:overflowPunct w:val="0"/>
      <w:autoSpaceDE w:val="0"/>
      <w:autoSpaceDN w:val="0"/>
      <w:textAlignment w:val="baseline"/>
      <w:outlineLvl w:val="3"/>
    </w:pPr>
  </w:style>
  <w:style w:type="paragraph" w:customStyle="1" w:styleId="40">
    <w:name w:val="标准文件_附录三级条标题"/>
    <w:next w:val="34"/>
    <w:qFormat/>
    <w:uiPriority w:val="0"/>
    <w:pPr>
      <w:widowControl w:val="0"/>
      <w:numPr>
        <w:ilvl w:val="3"/>
        <w:numId w:val="3"/>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41">
    <w:name w:val="标准文件_附录四级条标题"/>
    <w:next w:val="34"/>
    <w:qFormat/>
    <w:uiPriority w:val="0"/>
    <w:pPr>
      <w:widowControl w:val="0"/>
      <w:numPr>
        <w:ilvl w:val="4"/>
        <w:numId w:val="3"/>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42">
    <w:name w:val="标准文件_附录图标题"/>
    <w:next w:val="34"/>
    <w:qFormat/>
    <w:uiPriority w:val="0"/>
    <w:pPr>
      <w:numPr>
        <w:ilvl w:val="1"/>
        <w:numId w:val="5"/>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43">
    <w:name w:val="标准文件_附录五级条标题"/>
    <w:next w:val="34"/>
    <w:qFormat/>
    <w:uiPriority w:val="0"/>
    <w:pPr>
      <w:widowControl w:val="0"/>
      <w:numPr>
        <w:ilvl w:val="5"/>
        <w:numId w:val="3"/>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44">
    <w:name w:val="标准文件_三级条标题"/>
    <w:basedOn w:val="35"/>
    <w:next w:val="34"/>
    <w:qFormat/>
    <w:uiPriority w:val="0"/>
    <w:pPr>
      <w:widowControl/>
      <w:numPr>
        <w:ilvl w:val="4"/>
      </w:numPr>
      <w:outlineLvl w:val="3"/>
    </w:pPr>
  </w:style>
  <w:style w:type="paragraph" w:customStyle="1" w:styleId="45">
    <w:name w:val="标准文件_四级条标题"/>
    <w:next w:val="34"/>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paragraph" w:customStyle="1" w:styleId="46">
    <w:name w:val="标准文件_五级条标题"/>
    <w:next w:val="34"/>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47">
    <w:name w:val="标准文件_章标题"/>
    <w:next w:val="34"/>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48">
    <w:name w:val="标准文件_一级条标题"/>
    <w:basedOn w:val="47"/>
    <w:next w:val="34"/>
    <w:qFormat/>
    <w:uiPriority w:val="0"/>
    <w:pPr>
      <w:numPr>
        <w:ilvl w:val="2"/>
      </w:numPr>
      <w:spacing w:before="50" w:beforeLines="50" w:after="50" w:afterLines="50"/>
      <w:outlineLvl w:val="1"/>
    </w:pPr>
  </w:style>
  <w:style w:type="paragraph" w:customStyle="1" w:styleId="49">
    <w:name w:val="标准文件_正文图标题"/>
    <w:next w:val="34"/>
    <w:uiPriority w:val="0"/>
    <w:pPr>
      <w:numPr>
        <w:ilvl w:val="0"/>
        <w:numId w:val="6"/>
      </w:numPr>
      <w:spacing w:before="50" w:beforeLines="50" w:after="50" w:afterLines="50"/>
      <w:jc w:val="center"/>
    </w:pPr>
    <w:rPr>
      <w:rFonts w:ascii="黑体" w:hAnsi="Times New Roman" w:eastAsia="黑体" w:cs="Times New Roman"/>
      <w:sz w:val="21"/>
      <w:lang w:val="en-US" w:eastAsia="zh-CN" w:bidi="ar-SA"/>
    </w:rPr>
  </w:style>
  <w:style w:type="paragraph" w:customStyle="1" w:styleId="50">
    <w:name w:val="标准文件_一级项"/>
    <w:qFormat/>
    <w:uiPriority w:val="0"/>
    <w:pPr>
      <w:numPr>
        <w:ilvl w:val="0"/>
        <w:numId w:val="7"/>
      </w:numPr>
    </w:pPr>
    <w:rPr>
      <w:rFonts w:ascii="宋体" w:hAnsi="Times New Roman" w:eastAsia="宋体" w:cs="Times New Roman"/>
      <w:sz w:val="21"/>
      <w:lang w:val="en-US" w:eastAsia="zh-CN" w:bidi="ar-SA"/>
    </w:rPr>
  </w:style>
  <w:style w:type="paragraph" w:customStyle="1" w:styleId="51">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52">
    <w:name w:val="标准文件_三级无标题"/>
    <w:basedOn w:val="44"/>
    <w:qFormat/>
    <w:uiPriority w:val="0"/>
    <w:pPr>
      <w:spacing w:before="0" w:beforeLines="0" w:after="0" w:afterLines="0"/>
      <w:outlineLvl w:val="9"/>
    </w:pPr>
    <w:rPr>
      <w:rFonts w:ascii="宋体" w:eastAsia="宋体"/>
    </w:rPr>
  </w:style>
  <w:style w:type="paragraph" w:customStyle="1" w:styleId="53">
    <w:name w:val="标准文件_二级无标题"/>
    <w:basedOn w:val="35"/>
    <w:qFormat/>
    <w:uiPriority w:val="0"/>
    <w:pPr>
      <w:spacing w:before="0" w:beforeLines="0" w:after="0" w:afterLines="0"/>
      <w:outlineLvl w:val="9"/>
    </w:pPr>
    <w:rPr>
      <w:rFonts w:ascii="宋体" w:eastAsia="宋体"/>
    </w:rPr>
  </w:style>
  <w:style w:type="paragraph" w:customStyle="1" w:styleId="54">
    <w:name w:val="标准文件_三级项"/>
    <w:basedOn w:val="1"/>
    <w:qFormat/>
    <w:uiPriority w:val="0"/>
    <w:pPr>
      <w:numPr>
        <w:ilvl w:val="2"/>
        <w:numId w:val="7"/>
      </w:numPr>
      <w:adjustRightInd w:val="0"/>
      <w:spacing w:line="536870612" w:lineRule="auto"/>
    </w:pPr>
    <w:rPr>
      <w:rFonts w:ascii="Times New Roman" w:hAnsi="Times New Roman" w:eastAsia="宋体" w:cs="Times New Roman"/>
      <w:szCs w:val="21"/>
    </w:rPr>
  </w:style>
  <w:style w:type="paragraph" w:customStyle="1" w:styleId="55">
    <w:name w:val="标准文件_表格"/>
    <w:basedOn w:val="34"/>
    <w:qFormat/>
    <w:uiPriority w:val="0"/>
    <w:pPr>
      <w:ind w:firstLine="0" w:firstLineChars="0"/>
      <w:jc w:val="center"/>
    </w:pPr>
    <w:rPr>
      <w:sz w:val="18"/>
    </w:rPr>
  </w:style>
  <w:style w:type="paragraph" w:customStyle="1" w:styleId="56">
    <w:name w:val="标准文件_注："/>
    <w:next w:val="34"/>
    <w:uiPriority w:val="0"/>
    <w:pPr>
      <w:widowControl w:val="0"/>
      <w:numPr>
        <w:ilvl w:val="0"/>
        <w:numId w:val="8"/>
      </w:numPr>
      <w:autoSpaceDE w:val="0"/>
      <w:autoSpaceDN w:val="0"/>
      <w:jc w:val="both"/>
    </w:pPr>
    <w:rPr>
      <w:rFonts w:ascii="宋体" w:hAnsi="Times New Roman" w:eastAsia="宋体" w:cs="Times New Roman"/>
      <w:sz w:val="18"/>
      <w:szCs w:val="18"/>
      <w:lang w:val="en-US" w:eastAsia="zh-CN" w:bidi="ar-SA"/>
    </w:rPr>
  </w:style>
  <w:style w:type="paragraph" w:customStyle="1" w:styleId="57">
    <w:name w:val="标准文件_注×："/>
    <w:qFormat/>
    <w:uiPriority w:val="0"/>
    <w:pPr>
      <w:widowControl w:val="0"/>
      <w:numPr>
        <w:ilvl w:val="0"/>
        <w:numId w:val="9"/>
      </w:numPr>
      <w:autoSpaceDE w:val="0"/>
      <w:autoSpaceDN w:val="0"/>
      <w:jc w:val="both"/>
    </w:pPr>
    <w:rPr>
      <w:rFonts w:ascii="宋体" w:hAnsi="Times New Roman" w:eastAsia="宋体" w:cs="Times New Roman"/>
      <w:sz w:val="18"/>
      <w:szCs w:val="18"/>
      <w:lang w:val="en-US" w:eastAsia="zh-CN" w:bidi="ar-SA"/>
    </w:rPr>
  </w:style>
  <w:style w:type="character" w:customStyle="1" w:styleId="58">
    <w:name w:val="标准文件_段 Char"/>
    <w:link w:val="34"/>
    <w:qFormat/>
    <w:uiPriority w:val="0"/>
    <w:rPr>
      <w:rFonts w:ascii="宋体" w:hAnsi="Times New Roman" w:eastAsia="宋体" w:cs="Times New Roman"/>
      <w:sz w:val="21"/>
    </w:rPr>
  </w:style>
  <w:style w:type="paragraph" w:customStyle="1" w:styleId="59">
    <w:name w:val="标准文件_二级项2"/>
    <w:basedOn w:val="34"/>
    <w:qFormat/>
    <w:uiPriority w:val="0"/>
    <w:pPr>
      <w:numPr>
        <w:ilvl w:val="1"/>
        <w:numId w:val="7"/>
      </w:numPr>
      <w:tabs>
        <w:tab w:val="left" w:pos="360"/>
      </w:tabs>
      <w:ind w:left="0" w:firstLine="0" w:firstLineChars="0"/>
    </w:pPr>
  </w:style>
  <w:style w:type="paragraph" w:customStyle="1" w:styleId="60">
    <w:name w:val="标准文件_附录图标号"/>
    <w:basedOn w:val="34"/>
    <w:next w:val="34"/>
    <w:qFormat/>
    <w:uiPriority w:val="0"/>
    <w:pPr>
      <w:numPr>
        <w:ilvl w:val="0"/>
        <w:numId w:val="5"/>
      </w:numPr>
      <w:tabs>
        <w:tab w:val="left" w:pos="360"/>
      </w:tabs>
      <w:spacing w:line="14" w:lineRule="exact"/>
      <w:ind w:left="0" w:firstLine="0" w:firstLineChars="0"/>
      <w:jc w:val="center"/>
    </w:pPr>
    <w:rPr>
      <w:rFonts w:ascii="黑体" w:hAnsi="黑体" w:eastAsia="黑体"/>
      <w:vanish/>
      <w:sz w:val="2"/>
      <w:szCs w:val="21"/>
    </w:rPr>
  </w:style>
  <w:style w:type="paragraph" w:customStyle="1" w:styleId="61">
    <w:name w:val="标准文件_附录表标号"/>
    <w:basedOn w:val="34"/>
    <w:next w:val="34"/>
    <w:qFormat/>
    <w:uiPriority w:val="0"/>
    <w:pPr>
      <w:numPr>
        <w:ilvl w:val="0"/>
        <w:numId w:val="4"/>
      </w:numPr>
      <w:tabs>
        <w:tab w:val="left" w:pos="360"/>
      </w:tabs>
      <w:spacing w:line="14" w:lineRule="exact"/>
      <w:ind w:left="0" w:firstLine="0" w:firstLineChars="0"/>
      <w:jc w:val="center"/>
    </w:pPr>
    <w:rPr>
      <w:rFonts w:eastAsia="黑体"/>
      <w:vanish/>
      <w:sz w:val="2"/>
    </w:rPr>
  </w:style>
  <w:style w:type="paragraph" w:customStyle="1" w:styleId="62">
    <w:name w:val="标准文件_术语条一"/>
    <w:basedOn w:val="1"/>
    <w:next w:val="34"/>
    <w:qFormat/>
    <w:uiPriority w:val="0"/>
    <w:pPr>
      <w:widowControl/>
    </w:pPr>
    <w:rPr>
      <w:rFonts w:ascii="宋体" w:hAnsi="Times New Roman" w:eastAsia="宋体" w:cs="Times New Roman"/>
      <w:kern w:val="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5836E3E968094882A84F39C2F063497E"/>
        <w:style w:val=""/>
        <w:category>
          <w:name w:val="常规"/>
          <w:gallery w:val="placeholder"/>
        </w:category>
        <w:types>
          <w:type w:val="bbPlcHdr"/>
        </w:types>
        <w:behaviors>
          <w:behavior w:val="content"/>
        </w:behaviors>
        <w:description w:val=""/>
        <w:guid w:val="{EA5FCD52-D278-425A-9901-7C877CFEB471}"/>
      </w:docPartPr>
      <w:docPartBody>
        <w:p w14:paraId="1591D1D7">
          <w:pPr>
            <w:pStyle w:val="5"/>
          </w:pPr>
          <w:r>
            <w:rPr>
              <w:rStyle w:val="4"/>
              <w:rFonts w:hint="eastAsia"/>
            </w:rPr>
            <w:t>选择一项。</w:t>
          </w:r>
        </w:p>
      </w:docPartBody>
    </w:docPart>
    <w:docPart>
      <w:docPartPr>
        <w:name w:val="014E6B3060114A33A6ABD64834609620"/>
        <w:style w:val=""/>
        <w:category>
          <w:name w:val="常规"/>
          <w:gallery w:val="placeholder"/>
        </w:category>
        <w:types>
          <w:type w:val="bbPlcHdr"/>
        </w:types>
        <w:behaviors>
          <w:behavior w:val="content"/>
        </w:behaviors>
        <w:description w:val=""/>
        <w:guid w:val="{256C1A0C-2A65-4736-9CE2-5B5E1E005F53}"/>
      </w:docPartPr>
      <w:docPartBody>
        <w:p w14:paraId="68C2B3E0">
          <w:pPr>
            <w:pStyle w:val="6"/>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ADB"/>
    <w:rsid w:val="005B3ADB"/>
    <w:rsid w:val="005C5F36"/>
    <w:rsid w:val="00EE4A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5836E3E968094882A84F39C2F063497E"/>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014E6B3060114A33A6ABD64834609620"/>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C3B4CF-5B34-45C4-9690-BC0234FFD250}">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22</Pages>
  <Words>6218</Words>
  <Characters>6722</Characters>
  <Lines>73</Lines>
  <Paragraphs>20</Paragraphs>
  <TotalTime>31</TotalTime>
  <ScaleCrop>false</ScaleCrop>
  <LinksUpToDate>false</LinksUpToDate>
  <CharactersWithSpaces>6843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2019-06-25T01:51:00Z</dcterms:created>
  <dc:creator>yao jiang</dc:creator>
  <cp:lastModifiedBy>Shimmer</cp:lastModifiedBy>
  <dcterms:modified xsi:type="dcterms:W3CDTF">2025-12-15T08:56:32Z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286513CB856B4AD4B4C264CC0310DEB1</vt:lpwstr>
  </property>
  <property fmtid="{D5CDD505-2E9C-101B-9397-08002B2CF9AE}" pid="4" name="KSOTemplateDocerSaveRecord">
    <vt:lpwstr>eyJoZGlkIjoiYmMyN2Y1NjU1MGJkOTJlMGU2NjMwODJlNzlmZmZjZDkiLCJ1c2VySWQiOiIxNjEyNTI2NzM3In0=</vt:lpwstr>
  </property>
</Properties>
</file>