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3EEC097"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42EDA" w:rsidRPr="00342EDA">
        <w:rPr>
          <w:rFonts w:ascii="黑体" w:eastAsia="黑体" w:hAnsi="黑体" w:cs="黑体"/>
          <w:szCs w:val="22"/>
        </w:rPr>
        <w:t>91.140.</w:t>
      </w:r>
      <w:r w:rsidR="00314568">
        <w:rPr>
          <w:rFonts w:ascii="黑体" w:eastAsia="黑体" w:hAnsi="黑体" w:cs="黑体" w:hint="eastAsia"/>
          <w:szCs w:val="22"/>
        </w:rPr>
        <w:t>3</w:t>
      </w:r>
      <w:r w:rsidR="00342EDA" w:rsidRPr="00342EDA">
        <w:rPr>
          <w:rFonts w:ascii="黑体" w:eastAsia="黑体" w:hAnsi="黑体" w:cs="黑体"/>
          <w:szCs w:val="22"/>
        </w:rPr>
        <w:t>0</w:t>
      </w:r>
      <w:r>
        <w:rPr>
          <w:rFonts w:ascii="黑体" w:eastAsia="黑体" w:hAnsi="黑体" w:cs="黑体" w:hint="eastAsia"/>
          <w:color w:val="FF0000"/>
          <w:szCs w:val="22"/>
        </w:rPr>
        <w:t xml:space="preserve">       </w:t>
      </w:r>
    </w:p>
    <w:p w14:paraId="2C5F77EA" w14:textId="576DB1F4"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14568">
        <w:rPr>
          <w:rFonts w:ascii="黑体" w:eastAsia="黑体" w:hAnsi="黑体" w:cs="黑体" w:hint="eastAsia"/>
          <w:szCs w:val="22"/>
        </w:rPr>
        <w:t>P 45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DC8BCF4" w:rsidR="003F5FF8" w:rsidRDefault="004C0923">
      <w:pPr>
        <w:spacing w:line="360" w:lineRule="auto"/>
        <w:jc w:val="center"/>
        <w:rPr>
          <w:rFonts w:ascii="Times New Roman" w:eastAsia="黑体" w:hAnsi="Times New Roman"/>
        </w:rPr>
      </w:pPr>
      <w:bookmarkStart w:id="0" w:name="OLE_LINK2"/>
      <w:r w:rsidRPr="004C0923">
        <w:rPr>
          <w:rFonts w:ascii="Times New Roman" w:eastAsia="黑体" w:hAnsi="Times New Roman" w:hint="eastAsia"/>
          <w:sz w:val="52"/>
          <w:szCs w:val="52"/>
        </w:rPr>
        <w:t>建筑节能高效空调与供暖系统技术规范</w:t>
      </w:r>
    </w:p>
    <w:bookmarkEnd w:id="0"/>
    <w:p w14:paraId="12AD9E2D" w14:textId="6688C4C0" w:rsidR="003F5FF8" w:rsidRDefault="00314568">
      <w:pPr>
        <w:spacing w:line="360" w:lineRule="auto"/>
        <w:rPr>
          <w:rFonts w:ascii="Times New Roman" w:hAnsi="Times New Roman"/>
          <w:szCs w:val="22"/>
        </w:rPr>
      </w:pPr>
      <w:r w:rsidRPr="00314568">
        <w:rPr>
          <w:rFonts w:ascii="Times New Roman" w:eastAsia="黑体" w:hAnsi="Times New Roman"/>
          <w:sz w:val="28"/>
          <w:szCs w:val="28"/>
        </w:rPr>
        <w:t>Technical Code for Energy - efficient Air - conditioning and Heating Systems in Buildings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575AD29" w14:textId="77777777" w:rsidR="00DF06A2" w:rsidRDefault="00DF06A2" w:rsidP="00DF06A2">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DF06A2">
        <w:rPr>
          <w:rFonts w:hint="eastAsia"/>
          <w:spacing w:val="320"/>
        </w:rPr>
        <w:lastRenderedPageBreak/>
        <w:t>目</w:t>
      </w:r>
      <w:r>
        <w:rPr>
          <w:rFonts w:hint="eastAsia"/>
        </w:rPr>
        <w:t>次</w:t>
      </w:r>
    </w:p>
    <w:p w14:paraId="34895E19" w14:textId="3F477756"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F06A2">
        <w:fldChar w:fldCharType="begin"/>
      </w:r>
      <w:r w:rsidRPr="00DF06A2">
        <w:instrText xml:space="preserve"> TOC \o "1-1" \h \t "标准文件_一级条标题,2,标准文件_附录一级条标题,2," </w:instrText>
      </w:r>
      <w:r w:rsidRPr="00DF06A2">
        <w:fldChar w:fldCharType="separate"/>
      </w:r>
      <w:hyperlink w:anchor="_Toc212825785" w:history="1">
        <w:r w:rsidRPr="00DF06A2">
          <w:rPr>
            <w:rStyle w:val="affffd"/>
            <w:rFonts w:hint="eastAsia"/>
            <w:noProof/>
          </w:rPr>
          <w:t>前言</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_Toc212825785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II</w:t>
        </w:r>
        <w:r w:rsidRPr="00DF06A2">
          <w:rPr>
            <w:rFonts w:hint="eastAsia"/>
            <w:noProof/>
          </w:rPr>
          <w:fldChar w:fldCharType="end"/>
        </w:r>
      </w:hyperlink>
    </w:p>
    <w:p w14:paraId="14EBA9CB" w14:textId="00860E45"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86" w:history="1">
        <w:r w:rsidRPr="00DF06A2">
          <w:rPr>
            <w:rStyle w:val="affffd"/>
            <w:rFonts w:hint="eastAsia"/>
            <w:noProof/>
          </w:rPr>
          <w:t>建筑节能高效空调与供暖系统技术规范</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_Toc212825786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1</w:t>
        </w:r>
        <w:r w:rsidRPr="00DF06A2">
          <w:rPr>
            <w:rFonts w:hint="eastAsia"/>
            <w:noProof/>
          </w:rPr>
          <w:fldChar w:fldCharType="end"/>
        </w:r>
      </w:hyperlink>
    </w:p>
    <w:p w14:paraId="2FDD99E1" w14:textId="6B1C2FE6"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87" w:history="1">
        <w:r w:rsidRPr="00DF06A2">
          <w:rPr>
            <w:rStyle w:val="affffd"/>
            <w:rFonts w:hint="eastAsia"/>
            <w:noProof/>
          </w:rPr>
          <w:t>1</w:t>
        </w:r>
        <w:r>
          <w:rPr>
            <w:rStyle w:val="affffd"/>
            <w:noProof/>
          </w:rPr>
          <w:t xml:space="preserve"> </w:t>
        </w:r>
        <w:r w:rsidRPr="00DF06A2">
          <w:rPr>
            <w:rStyle w:val="affffd"/>
            <w:rFonts w:hint="eastAsia"/>
            <w:noProof/>
          </w:rPr>
          <w:t xml:space="preserve"> 范围</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_Toc212825787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1</w:t>
        </w:r>
        <w:r w:rsidRPr="00DF06A2">
          <w:rPr>
            <w:rFonts w:hint="eastAsia"/>
            <w:noProof/>
          </w:rPr>
          <w:fldChar w:fldCharType="end"/>
        </w:r>
      </w:hyperlink>
    </w:p>
    <w:p w14:paraId="63650B00" w14:textId="33668776"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88" w:history="1">
        <w:r w:rsidRPr="00DF06A2">
          <w:rPr>
            <w:rStyle w:val="affffd"/>
            <w:rFonts w:hint="eastAsia"/>
            <w:noProof/>
          </w:rPr>
          <w:t>2</w:t>
        </w:r>
        <w:r>
          <w:rPr>
            <w:rStyle w:val="affffd"/>
            <w:noProof/>
          </w:rPr>
          <w:t xml:space="preserve"> </w:t>
        </w:r>
        <w:r w:rsidRPr="00DF06A2">
          <w:rPr>
            <w:rStyle w:val="affffd"/>
            <w:rFonts w:hint="eastAsia"/>
            <w:noProof/>
          </w:rPr>
          <w:t xml:space="preserve"> 规范性引用文件</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_Toc212825788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1</w:t>
        </w:r>
        <w:r w:rsidRPr="00DF06A2">
          <w:rPr>
            <w:rFonts w:hint="eastAsia"/>
            <w:noProof/>
          </w:rPr>
          <w:fldChar w:fldCharType="end"/>
        </w:r>
      </w:hyperlink>
    </w:p>
    <w:p w14:paraId="3663FD08" w14:textId="7F678BE9"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89" w:history="1">
        <w:r w:rsidRPr="00DF06A2">
          <w:rPr>
            <w:rStyle w:val="affffd"/>
            <w:rFonts w:hint="eastAsia"/>
            <w:noProof/>
          </w:rPr>
          <w:t>3</w:t>
        </w:r>
        <w:r>
          <w:rPr>
            <w:rStyle w:val="affffd"/>
            <w:noProof/>
          </w:rPr>
          <w:t xml:space="preserve"> </w:t>
        </w:r>
        <w:r w:rsidRPr="00DF06A2">
          <w:rPr>
            <w:rStyle w:val="affffd"/>
            <w:rFonts w:hint="eastAsia"/>
            <w:noProof/>
          </w:rPr>
          <w:t xml:space="preserve"> 术语和定义</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_Toc212825789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1</w:t>
        </w:r>
        <w:r w:rsidRPr="00DF06A2">
          <w:rPr>
            <w:rFonts w:hint="eastAsia"/>
            <w:noProof/>
          </w:rPr>
          <w:fldChar w:fldCharType="end"/>
        </w:r>
      </w:hyperlink>
    </w:p>
    <w:p w14:paraId="34EEE350" w14:textId="426F65E0"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90" w:history="1">
        <w:r w:rsidRPr="00DF06A2">
          <w:rPr>
            <w:rStyle w:val="affffd"/>
            <w:rFonts w:hint="eastAsia"/>
            <w:noProof/>
          </w:rPr>
          <w:t>4</w:t>
        </w:r>
        <w:r>
          <w:rPr>
            <w:rStyle w:val="affffd"/>
            <w:noProof/>
          </w:rPr>
          <w:t xml:space="preserve"> </w:t>
        </w:r>
        <w:r w:rsidRPr="00DF06A2">
          <w:rPr>
            <w:rStyle w:val="affffd"/>
            <w:rFonts w:hint="eastAsia"/>
            <w:noProof/>
          </w:rPr>
          <w:t xml:space="preserve"> 技术要求</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_Toc212825790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1</w:t>
        </w:r>
        <w:r w:rsidRPr="00DF06A2">
          <w:rPr>
            <w:rFonts w:hint="eastAsia"/>
            <w:noProof/>
          </w:rPr>
          <w:fldChar w:fldCharType="end"/>
        </w:r>
      </w:hyperlink>
    </w:p>
    <w:p w14:paraId="4B9351DF" w14:textId="46A42282" w:rsidR="00DF06A2" w:rsidRPr="00DF06A2" w:rsidRDefault="00DF06A2">
      <w:pPr>
        <w:pStyle w:val="TOC2"/>
        <w:rPr>
          <w:rFonts w:asciiTheme="minorHAnsi" w:eastAsiaTheme="minorEastAsia" w:hAnsiTheme="minorHAnsi" w:cstheme="minorBidi" w:hint="eastAsia"/>
          <w:noProof/>
          <w:sz w:val="22"/>
          <w:szCs w:val="24"/>
          <w14:ligatures w14:val="standardContextual"/>
        </w:rPr>
      </w:pPr>
      <w:hyperlink w:anchor="_Toc212825791" w:history="1">
        <w:r w:rsidRPr="00DF06A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DF06A2">
          <w:rPr>
            <w:rStyle w:val="affffd"/>
            <w:rFonts w:hint="eastAsia"/>
            <w:noProof/>
          </w:rPr>
          <w:t xml:space="preserve"> 设计要求</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_Toc212825791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2</w:t>
        </w:r>
        <w:r w:rsidRPr="00DF06A2">
          <w:rPr>
            <w:rFonts w:hint="eastAsia"/>
            <w:noProof/>
          </w:rPr>
          <w:fldChar w:fldCharType="end"/>
        </w:r>
      </w:hyperlink>
    </w:p>
    <w:p w14:paraId="6DB8C1BC" w14:textId="21CCB0CB" w:rsidR="00DF06A2" w:rsidRPr="00DF06A2" w:rsidRDefault="00DF06A2">
      <w:pPr>
        <w:pStyle w:val="TOC2"/>
        <w:rPr>
          <w:rFonts w:asciiTheme="minorHAnsi" w:eastAsiaTheme="minorEastAsia" w:hAnsiTheme="minorHAnsi" w:cstheme="minorBidi" w:hint="eastAsia"/>
          <w:noProof/>
          <w:sz w:val="22"/>
          <w:szCs w:val="24"/>
          <w14:ligatures w14:val="standardContextual"/>
        </w:rPr>
      </w:pPr>
      <w:hyperlink w:anchor="_Toc212825792" w:history="1">
        <w:r w:rsidRPr="00DF06A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DF06A2">
          <w:rPr>
            <w:rStyle w:val="affffd"/>
            <w:rFonts w:hint="eastAsia"/>
            <w:noProof/>
          </w:rPr>
          <w:t xml:space="preserve"> 设备要求</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_Toc212825792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2</w:t>
        </w:r>
        <w:r w:rsidRPr="00DF06A2">
          <w:rPr>
            <w:rFonts w:hint="eastAsia"/>
            <w:noProof/>
          </w:rPr>
          <w:fldChar w:fldCharType="end"/>
        </w:r>
      </w:hyperlink>
    </w:p>
    <w:p w14:paraId="63ED2E73" w14:textId="44A70DE0" w:rsidR="00DF06A2" w:rsidRPr="00DF06A2" w:rsidRDefault="00DF06A2">
      <w:pPr>
        <w:pStyle w:val="TOC2"/>
        <w:rPr>
          <w:rFonts w:asciiTheme="minorHAnsi" w:eastAsiaTheme="minorEastAsia" w:hAnsiTheme="minorHAnsi" w:cstheme="minorBidi" w:hint="eastAsia"/>
          <w:noProof/>
          <w:sz w:val="22"/>
          <w:szCs w:val="24"/>
          <w14:ligatures w14:val="standardContextual"/>
        </w:rPr>
      </w:pPr>
      <w:hyperlink w:anchor="_Toc212825793" w:history="1">
        <w:r w:rsidRPr="00DF06A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DF06A2">
          <w:rPr>
            <w:rStyle w:val="affffd"/>
            <w:rFonts w:hint="eastAsia"/>
            <w:noProof/>
          </w:rPr>
          <w:t xml:space="preserve"> 施工与安装要求</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_Toc212825793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3</w:t>
        </w:r>
        <w:r w:rsidRPr="00DF06A2">
          <w:rPr>
            <w:rFonts w:hint="eastAsia"/>
            <w:noProof/>
          </w:rPr>
          <w:fldChar w:fldCharType="end"/>
        </w:r>
      </w:hyperlink>
    </w:p>
    <w:p w14:paraId="1D1BD403" w14:textId="57CC11B5" w:rsidR="00DF06A2" w:rsidRPr="00DF06A2" w:rsidRDefault="00DF06A2">
      <w:pPr>
        <w:pStyle w:val="TOC2"/>
        <w:rPr>
          <w:rFonts w:asciiTheme="minorHAnsi" w:eastAsiaTheme="minorEastAsia" w:hAnsiTheme="minorHAnsi" w:cstheme="minorBidi" w:hint="eastAsia"/>
          <w:noProof/>
          <w:sz w:val="22"/>
          <w:szCs w:val="24"/>
          <w14:ligatures w14:val="standardContextual"/>
        </w:rPr>
      </w:pPr>
      <w:hyperlink w:anchor="_Toc212825794" w:history="1">
        <w:r w:rsidRPr="00DF06A2">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DF06A2">
          <w:rPr>
            <w:rStyle w:val="affffd"/>
            <w:rFonts w:hint="eastAsia"/>
            <w:noProof/>
          </w:rPr>
          <w:t xml:space="preserve"> 运行与维护要求</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_Toc212825794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4</w:t>
        </w:r>
        <w:r w:rsidRPr="00DF06A2">
          <w:rPr>
            <w:rFonts w:hint="eastAsia"/>
            <w:noProof/>
          </w:rPr>
          <w:fldChar w:fldCharType="end"/>
        </w:r>
      </w:hyperlink>
    </w:p>
    <w:p w14:paraId="4FA12F96" w14:textId="4AD02398"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95" w:history="1">
        <w:r w:rsidRPr="00DF06A2">
          <w:rPr>
            <w:rStyle w:val="affffd"/>
            <w:rFonts w:hint="eastAsia"/>
            <w:noProof/>
          </w:rPr>
          <w:t>5</w:t>
        </w:r>
        <w:r>
          <w:rPr>
            <w:rStyle w:val="affffd"/>
            <w:noProof/>
          </w:rPr>
          <w:t xml:space="preserve"> </w:t>
        </w:r>
        <w:r w:rsidRPr="00DF06A2">
          <w:rPr>
            <w:rStyle w:val="affffd"/>
            <w:rFonts w:hint="eastAsia"/>
            <w:noProof/>
          </w:rPr>
          <w:t xml:space="preserve"> 试验方法</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_Toc212825795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4</w:t>
        </w:r>
        <w:r w:rsidRPr="00DF06A2">
          <w:rPr>
            <w:rFonts w:hint="eastAsia"/>
            <w:noProof/>
          </w:rPr>
          <w:fldChar w:fldCharType="end"/>
        </w:r>
      </w:hyperlink>
    </w:p>
    <w:p w14:paraId="75AB65AE" w14:textId="2DF26C11"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96" w:history="1">
        <w:r w:rsidRPr="00DF06A2">
          <w:rPr>
            <w:rStyle w:val="affffd"/>
            <w:rFonts w:hint="eastAsia"/>
            <w:noProof/>
          </w:rPr>
          <w:t>6</w:t>
        </w:r>
        <w:r>
          <w:rPr>
            <w:rStyle w:val="affffd"/>
            <w:noProof/>
          </w:rPr>
          <w:t xml:space="preserve"> </w:t>
        </w:r>
        <w:r w:rsidRPr="00DF06A2">
          <w:rPr>
            <w:rStyle w:val="affffd"/>
            <w:rFonts w:hint="eastAsia"/>
            <w:noProof/>
          </w:rPr>
          <w:t xml:space="preserve"> 检验规则</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_Toc212825796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5</w:t>
        </w:r>
        <w:r w:rsidRPr="00DF06A2">
          <w:rPr>
            <w:rFonts w:hint="eastAsia"/>
            <w:noProof/>
          </w:rPr>
          <w:fldChar w:fldCharType="end"/>
        </w:r>
      </w:hyperlink>
    </w:p>
    <w:p w14:paraId="4B68BC65" w14:textId="48288697" w:rsidR="00DF06A2" w:rsidRPr="00DF06A2" w:rsidRDefault="00DF06A2">
      <w:pPr>
        <w:pStyle w:val="TOC2"/>
        <w:rPr>
          <w:rFonts w:asciiTheme="minorHAnsi" w:eastAsiaTheme="minorEastAsia" w:hAnsiTheme="minorHAnsi" w:cstheme="minorBidi" w:hint="eastAsia"/>
          <w:noProof/>
          <w:sz w:val="22"/>
          <w:szCs w:val="24"/>
          <w14:ligatures w14:val="standardContextual"/>
        </w:rPr>
      </w:pPr>
      <w:hyperlink w:anchor="_Toc212825797" w:history="1">
        <w:r w:rsidRPr="00DF06A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DF06A2">
          <w:rPr>
            <w:rStyle w:val="affffd"/>
            <w:rFonts w:hint="eastAsia"/>
            <w:noProof/>
          </w:rPr>
          <w:t xml:space="preserve"> 检验分类</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_Toc212825797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5</w:t>
        </w:r>
        <w:r w:rsidRPr="00DF06A2">
          <w:rPr>
            <w:rFonts w:hint="eastAsia"/>
            <w:noProof/>
          </w:rPr>
          <w:fldChar w:fldCharType="end"/>
        </w:r>
      </w:hyperlink>
    </w:p>
    <w:p w14:paraId="0C105605" w14:textId="55C03475" w:rsidR="00DF06A2" w:rsidRPr="00DF06A2" w:rsidRDefault="00DF06A2">
      <w:pPr>
        <w:pStyle w:val="TOC2"/>
        <w:rPr>
          <w:rFonts w:asciiTheme="minorHAnsi" w:eastAsiaTheme="minorEastAsia" w:hAnsiTheme="minorHAnsi" w:cstheme="minorBidi" w:hint="eastAsia"/>
          <w:noProof/>
          <w:sz w:val="22"/>
          <w:szCs w:val="24"/>
          <w14:ligatures w14:val="standardContextual"/>
        </w:rPr>
      </w:pPr>
      <w:hyperlink w:anchor="_Toc212825798" w:history="1">
        <w:r w:rsidRPr="00DF06A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DF06A2">
          <w:rPr>
            <w:rStyle w:val="affffd"/>
            <w:rFonts w:hint="eastAsia"/>
            <w:noProof/>
          </w:rPr>
          <w:t xml:space="preserve"> 判定规则</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_Toc212825798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5</w:t>
        </w:r>
        <w:r w:rsidRPr="00DF06A2">
          <w:rPr>
            <w:rFonts w:hint="eastAsia"/>
            <w:noProof/>
          </w:rPr>
          <w:fldChar w:fldCharType="end"/>
        </w:r>
      </w:hyperlink>
    </w:p>
    <w:p w14:paraId="69C0C3CC" w14:textId="49A95208" w:rsidR="00DF06A2" w:rsidRPr="00DF06A2" w:rsidRDefault="00DF06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5799" w:history="1">
        <w:r w:rsidRPr="00DF06A2">
          <w:rPr>
            <w:rStyle w:val="affffd"/>
            <w:rFonts w:hint="eastAsia"/>
            <w:noProof/>
          </w:rPr>
          <w:t>7</w:t>
        </w:r>
        <w:r>
          <w:rPr>
            <w:rStyle w:val="affffd"/>
            <w:noProof/>
          </w:rPr>
          <w:t xml:space="preserve"> </w:t>
        </w:r>
        <w:r w:rsidRPr="00DF06A2">
          <w:rPr>
            <w:rStyle w:val="affffd"/>
            <w:rFonts w:hint="eastAsia"/>
            <w:noProof/>
          </w:rPr>
          <w:t xml:space="preserve"> 标志、包装、运输和贮存</w:t>
        </w:r>
        <w:r w:rsidRPr="00DF06A2">
          <w:rPr>
            <w:rFonts w:hint="eastAsia"/>
            <w:noProof/>
          </w:rPr>
          <w:tab/>
        </w:r>
        <w:r w:rsidRPr="00DF06A2">
          <w:rPr>
            <w:rFonts w:hint="eastAsia"/>
            <w:noProof/>
          </w:rPr>
          <w:fldChar w:fldCharType="begin"/>
        </w:r>
        <w:r w:rsidRPr="00DF06A2">
          <w:rPr>
            <w:rFonts w:hint="eastAsia"/>
            <w:noProof/>
          </w:rPr>
          <w:instrText xml:space="preserve"> </w:instrText>
        </w:r>
        <w:r w:rsidRPr="00DF06A2">
          <w:rPr>
            <w:noProof/>
          </w:rPr>
          <w:instrText>PAGEREF _Toc212825799 \h</w:instrText>
        </w:r>
        <w:r w:rsidRPr="00DF06A2">
          <w:rPr>
            <w:rFonts w:hint="eastAsia"/>
            <w:noProof/>
          </w:rPr>
          <w:instrText xml:space="preserve"> </w:instrText>
        </w:r>
        <w:r w:rsidRPr="00DF06A2">
          <w:rPr>
            <w:rFonts w:hint="eastAsia"/>
            <w:noProof/>
          </w:rPr>
        </w:r>
        <w:r w:rsidRPr="00DF06A2">
          <w:rPr>
            <w:rFonts w:hint="eastAsia"/>
            <w:noProof/>
          </w:rPr>
          <w:fldChar w:fldCharType="separate"/>
        </w:r>
        <w:r w:rsidRPr="00DF06A2">
          <w:rPr>
            <w:noProof/>
          </w:rPr>
          <w:t>6</w:t>
        </w:r>
        <w:r w:rsidRPr="00DF06A2">
          <w:rPr>
            <w:rFonts w:hint="eastAsia"/>
            <w:noProof/>
          </w:rPr>
          <w:fldChar w:fldCharType="end"/>
        </w:r>
      </w:hyperlink>
    </w:p>
    <w:p w14:paraId="2CE7C2CB" w14:textId="23245BFA" w:rsidR="00DF06A2" w:rsidRPr="00DF06A2" w:rsidRDefault="00DF06A2" w:rsidP="00DF06A2">
      <w:pPr>
        <w:pStyle w:val="affffffc"/>
        <w:spacing w:after="360"/>
        <w:sectPr w:rsidR="00DF06A2" w:rsidRPr="00DF06A2" w:rsidSect="00DF06A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DF06A2">
        <w:fldChar w:fldCharType="end"/>
      </w:r>
    </w:p>
    <w:p w14:paraId="50DB6AD5" w14:textId="77777777" w:rsidR="003F5FF8" w:rsidRDefault="00000000">
      <w:pPr>
        <w:pStyle w:val="a6"/>
        <w:spacing w:before="850" w:afterLines="0" w:after="680"/>
      </w:pPr>
      <w:bookmarkStart w:id="7" w:name="BookMark2"/>
      <w:bookmarkStart w:id="8" w:name="_Toc212825785"/>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48392CC5" w:rsidR="003F5FF8" w:rsidRDefault="00700B88">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825786"/>
      <w:r w:rsidRPr="00700B88">
        <w:rPr>
          <w:rFonts w:hint="eastAsia"/>
        </w:rPr>
        <w:t>建筑节能高效空调与供暖系统技术规范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825787"/>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48318105"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B80C97" w:rsidRPr="00B80C97">
        <w:rPr>
          <w:rFonts w:hint="eastAsia"/>
        </w:rPr>
        <w:t>建筑节能高效空调与供暖系统技术</w:t>
      </w:r>
      <w:r w:rsidR="00557C2B">
        <w:rPr>
          <w:rFonts w:hint="eastAsia"/>
        </w:rPr>
        <w:t>要求。</w:t>
      </w:r>
    </w:p>
    <w:p w14:paraId="13CE565A" w14:textId="05293215" w:rsidR="003F5FF8" w:rsidRDefault="00000000" w:rsidP="00557C2B">
      <w:pPr>
        <w:pStyle w:val="afffff7"/>
        <w:ind w:firstLine="420"/>
      </w:pPr>
      <w:r>
        <w:rPr>
          <w:rFonts w:hint="eastAsia"/>
        </w:rPr>
        <w:t>本文件适用于</w:t>
      </w:r>
      <w:r w:rsidR="00B80C97" w:rsidRPr="00B80C97">
        <w:rPr>
          <w:rFonts w:hint="eastAsia"/>
        </w:rPr>
        <w:t>建筑节能高效空调与供暖系统</w:t>
      </w:r>
      <w:r w:rsidR="00B80C97">
        <w:rPr>
          <w:rFonts w:hint="eastAsia"/>
        </w:rPr>
        <w:t>的应用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825788"/>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C486337" w14:textId="135B1A2E" w:rsidR="00C0753A" w:rsidRDefault="00000000" w:rsidP="0032122E">
      <w:pPr>
        <w:autoSpaceDE w:val="0"/>
        <w:autoSpaceDN w:val="0"/>
        <w:spacing w:line="240" w:lineRule="auto"/>
        <w:ind w:firstLineChars="200"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bookmarkStart w:id="52" w:name="OLE_LINK3"/>
    </w:p>
    <w:p w14:paraId="601843B5" w14:textId="0E493AB1" w:rsidR="0029013B" w:rsidRDefault="0029013B" w:rsidP="0097236C">
      <w:pPr>
        <w:pStyle w:val="afffff7"/>
        <w:ind w:firstLine="420"/>
        <w:rPr>
          <w:rFonts w:hint="eastAsia"/>
        </w:rPr>
      </w:pPr>
      <w:r w:rsidRPr="0029013B">
        <w:t>GB/T 13470</w:t>
      </w:r>
      <w:r w:rsidR="0032122E">
        <w:rPr>
          <w:rFonts w:hint="eastAsia"/>
        </w:rPr>
        <w:t xml:space="preserve">  </w:t>
      </w:r>
      <w:r w:rsidR="0032122E" w:rsidRPr="0032122E">
        <w:rPr>
          <w:rFonts w:hint="eastAsia"/>
        </w:rPr>
        <w:t>通风机 空气动力性能试验方法</w:t>
      </w:r>
      <w:r w:rsidR="0032122E">
        <w:rPr>
          <w:rFonts w:hint="eastAsia"/>
        </w:rPr>
        <w:t xml:space="preserve"> </w:t>
      </w:r>
    </w:p>
    <w:p w14:paraId="7EC17593" w14:textId="1ED5D3E1" w:rsidR="00733ACF" w:rsidRDefault="00733ACF" w:rsidP="0097236C">
      <w:pPr>
        <w:pStyle w:val="afffff7"/>
        <w:ind w:firstLine="420"/>
        <w:rPr>
          <w:rFonts w:hint="eastAsia"/>
        </w:rPr>
      </w:pPr>
      <w:r w:rsidRPr="00733ACF">
        <w:t>GB/T 17116</w:t>
      </w:r>
      <w:r w:rsidR="0032122E">
        <w:rPr>
          <w:rFonts w:hint="eastAsia"/>
        </w:rPr>
        <w:t xml:space="preserve">  </w:t>
      </w:r>
      <w:r w:rsidR="0032122E" w:rsidRPr="0032122E">
        <w:rPr>
          <w:rFonts w:hint="eastAsia"/>
        </w:rPr>
        <w:t>管道与设备保温 效果的测试与评价</w:t>
      </w:r>
    </w:p>
    <w:p w14:paraId="7478028B" w14:textId="655E504B" w:rsidR="0029013B" w:rsidRDefault="0029013B" w:rsidP="0097236C">
      <w:pPr>
        <w:pStyle w:val="afffff7"/>
        <w:ind w:firstLine="420"/>
        <w:rPr>
          <w:rFonts w:hint="eastAsia"/>
        </w:rPr>
      </w:pPr>
      <w:r w:rsidRPr="0029013B">
        <w:t>GB/T 18430.1</w:t>
      </w:r>
      <w:r w:rsidR="0032122E">
        <w:rPr>
          <w:rFonts w:hint="eastAsia"/>
        </w:rPr>
        <w:t xml:space="preserve">  </w:t>
      </w:r>
      <w:r w:rsidR="0032122E" w:rsidRPr="0032122E">
        <w:rPr>
          <w:rFonts w:hint="eastAsia"/>
        </w:rPr>
        <w:t>蒸汽压缩循环冷水（热泵）机组 第 1 部分：工业或商业用及类似用途的冷水（热泵）机组</w:t>
      </w:r>
    </w:p>
    <w:p w14:paraId="7BCFB05A" w14:textId="6D26A0D0" w:rsidR="0029013B" w:rsidRDefault="0029013B" w:rsidP="0097236C">
      <w:pPr>
        <w:pStyle w:val="afffff7"/>
        <w:ind w:firstLine="420"/>
        <w:rPr>
          <w:rFonts w:hint="eastAsia"/>
        </w:rPr>
      </w:pPr>
      <w:r w:rsidRPr="0029013B">
        <w:t>GB 18613</w:t>
      </w:r>
      <w:r w:rsidR="0032122E">
        <w:rPr>
          <w:rFonts w:hint="eastAsia"/>
        </w:rPr>
        <w:t xml:space="preserve">  </w:t>
      </w:r>
      <w:r w:rsidR="0032122E" w:rsidRPr="0032122E">
        <w:rPr>
          <w:rFonts w:hint="eastAsia"/>
        </w:rPr>
        <w:t>中小型三相异步电动机能效限定值及能效等级</w:t>
      </w:r>
    </w:p>
    <w:p w14:paraId="56DD993A" w14:textId="6DC95113" w:rsidR="0029013B" w:rsidRDefault="0029013B" w:rsidP="0097236C">
      <w:pPr>
        <w:pStyle w:val="afffff7"/>
        <w:ind w:firstLine="420"/>
        <w:rPr>
          <w:rFonts w:hint="eastAsia"/>
        </w:rPr>
      </w:pPr>
      <w:r w:rsidRPr="0029013B">
        <w:t>GB/T 20109</w:t>
      </w:r>
      <w:r w:rsidR="0032122E">
        <w:rPr>
          <w:rFonts w:hint="eastAsia"/>
        </w:rPr>
        <w:t xml:space="preserve">  </w:t>
      </w:r>
      <w:r w:rsidR="0032122E" w:rsidRPr="0032122E">
        <w:rPr>
          <w:rFonts w:hint="eastAsia"/>
        </w:rPr>
        <w:t>空调用通风机</w:t>
      </w:r>
    </w:p>
    <w:p w14:paraId="6867C000" w14:textId="1061E21D" w:rsidR="0029013B" w:rsidRDefault="0029013B" w:rsidP="0097236C">
      <w:pPr>
        <w:pStyle w:val="afffff7"/>
        <w:ind w:firstLine="420"/>
        <w:rPr>
          <w:rFonts w:hint="eastAsia"/>
        </w:rPr>
      </w:pPr>
      <w:r w:rsidRPr="0029013B">
        <w:rPr>
          <w:rFonts w:hint="eastAsia"/>
        </w:rPr>
        <w:t>GB/T 25127.1</w:t>
      </w:r>
      <w:r w:rsidR="0032122E">
        <w:rPr>
          <w:rFonts w:hint="eastAsia"/>
        </w:rPr>
        <w:t xml:space="preserve">  </w:t>
      </w:r>
      <w:r w:rsidR="0032122E" w:rsidRPr="0032122E">
        <w:rPr>
          <w:rFonts w:hint="eastAsia"/>
        </w:rPr>
        <w:t>低环境温度空气源热泵（冷水）机组 第 1 部分：工业或商业用及类似用途</w:t>
      </w:r>
    </w:p>
    <w:p w14:paraId="46F2E231" w14:textId="37A5C2ED" w:rsidR="0029013B" w:rsidRDefault="0029013B" w:rsidP="0097236C">
      <w:pPr>
        <w:pStyle w:val="afffff7"/>
        <w:ind w:firstLine="420"/>
        <w:rPr>
          <w:rFonts w:hint="eastAsia"/>
        </w:rPr>
      </w:pPr>
      <w:r w:rsidRPr="0029013B">
        <w:t>GB/T 25127.2</w:t>
      </w:r>
      <w:r w:rsidR="0032122E">
        <w:rPr>
          <w:rFonts w:hint="eastAsia"/>
        </w:rPr>
        <w:t xml:space="preserve">  </w:t>
      </w:r>
      <w:r w:rsidR="0032122E" w:rsidRPr="0032122E">
        <w:rPr>
          <w:rFonts w:hint="eastAsia"/>
        </w:rPr>
        <w:t>低环境温度空气源热泵（冷水）机组 第 2 部分：户用及类似用途</w:t>
      </w:r>
    </w:p>
    <w:p w14:paraId="1173EC51" w14:textId="1A3FAB11" w:rsidR="0029013B" w:rsidRDefault="0029013B" w:rsidP="0097236C">
      <w:pPr>
        <w:pStyle w:val="afffff7"/>
        <w:ind w:firstLine="420"/>
        <w:rPr>
          <w:rFonts w:hint="eastAsia"/>
        </w:rPr>
      </w:pPr>
      <w:r w:rsidRPr="0029013B">
        <w:rPr>
          <w:rFonts w:hint="eastAsia"/>
        </w:rPr>
        <w:t>GB 50019</w:t>
      </w:r>
      <w:r w:rsidR="0032122E">
        <w:rPr>
          <w:rFonts w:hint="eastAsia"/>
        </w:rPr>
        <w:t xml:space="preserve">  </w:t>
      </w:r>
      <w:r w:rsidR="0032122E" w:rsidRPr="0032122E">
        <w:rPr>
          <w:rFonts w:hint="eastAsia"/>
        </w:rPr>
        <w:t>采暖通风与空气调节设计规范</w:t>
      </w:r>
    </w:p>
    <w:p w14:paraId="12296F12" w14:textId="79274188" w:rsidR="0029013B" w:rsidRDefault="0029013B" w:rsidP="0097236C">
      <w:pPr>
        <w:pStyle w:val="afffff7"/>
        <w:ind w:firstLine="420"/>
        <w:rPr>
          <w:rFonts w:hint="eastAsia"/>
        </w:rPr>
      </w:pPr>
      <w:r w:rsidRPr="0029013B">
        <w:rPr>
          <w:rFonts w:hint="eastAsia"/>
        </w:rPr>
        <w:t>GB 50189</w:t>
      </w:r>
      <w:r w:rsidR="0032122E">
        <w:rPr>
          <w:rFonts w:hint="eastAsia"/>
        </w:rPr>
        <w:t xml:space="preserve">  </w:t>
      </w:r>
      <w:r w:rsidR="0032122E" w:rsidRPr="0032122E">
        <w:rPr>
          <w:rFonts w:hint="eastAsia"/>
        </w:rPr>
        <w:t>公共建筑节能设计标准</w:t>
      </w:r>
    </w:p>
    <w:p w14:paraId="529D7577" w14:textId="2F9C82A1" w:rsidR="0029013B" w:rsidRDefault="0029013B" w:rsidP="0097236C">
      <w:pPr>
        <w:pStyle w:val="afffff7"/>
        <w:ind w:firstLine="420"/>
        <w:rPr>
          <w:rFonts w:hint="eastAsia"/>
        </w:rPr>
      </w:pPr>
      <w:r w:rsidRPr="0029013B">
        <w:t>GB 50236</w:t>
      </w:r>
      <w:r w:rsidR="0032122E">
        <w:rPr>
          <w:rFonts w:hint="eastAsia"/>
        </w:rPr>
        <w:t xml:space="preserve">  </w:t>
      </w:r>
      <w:r w:rsidR="0032122E" w:rsidRPr="0032122E">
        <w:rPr>
          <w:rFonts w:hint="eastAsia"/>
        </w:rPr>
        <w:t>现场设备、工业管道焊接工程施工规范</w:t>
      </w:r>
    </w:p>
    <w:p w14:paraId="7E118138" w14:textId="5AE91AA9" w:rsidR="0029013B" w:rsidRDefault="0029013B" w:rsidP="0097236C">
      <w:pPr>
        <w:pStyle w:val="afffff7"/>
        <w:ind w:firstLine="420"/>
        <w:rPr>
          <w:rFonts w:hint="eastAsia"/>
        </w:rPr>
      </w:pPr>
      <w:r w:rsidRPr="0029013B">
        <w:t>GB 50243</w:t>
      </w:r>
      <w:r w:rsidR="0032122E">
        <w:rPr>
          <w:rFonts w:hint="eastAsia"/>
        </w:rPr>
        <w:t xml:space="preserve">  </w:t>
      </w:r>
      <w:r w:rsidR="0032122E" w:rsidRPr="0032122E">
        <w:rPr>
          <w:rFonts w:hint="eastAsia"/>
        </w:rPr>
        <w:t>通风与空调工程施工质量验收规范</w:t>
      </w:r>
    </w:p>
    <w:p w14:paraId="40AEA7B2" w14:textId="65C1D341" w:rsidR="0029013B" w:rsidRDefault="0029013B" w:rsidP="0097236C">
      <w:pPr>
        <w:pStyle w:val="afffff7"/>
        <w:ind w:firstLine="420"/>
        <w:rPr>
          <w:rFonts w:hint="eastAsia"/>
        </w:rPr>
      </w:pPr>
      <w:r w:rsidRPr="0029013B">
        <w:t>GB/T 50314</w:t>
      </w:r>
      <w:r w:rsidR="0032122E">
        <w:rPr>
          <w:rFonts w:hint="eastAsia"/>
        </w:rPr>
        <w:t xml:space="preserve">  </w:t>
      </w:r>
      <w:r w:rsidR="0032122E" w:rsidRPr="0032122E">
        <w:rPr>
          <w:rFonts w:hint="eastAsia"/>
        </w:rPr>
        <w:t>智能建筑设计标准</w:t>
      </w:r>
    </w:p>
    <w:p w14:paraId="22D1A87E" w14:textId="77777777" w:rsidR="003F5FF8" w:rsidRDefault="00000000">
      <w:pPr>
        <w:pStyle w:val="affc"/>
        <w:spacing w:before="240" w:after="240"/>
      </w:pPr>
      <w:bookmarkStart w:id="53" w:name="_Toc11391"/>
      <w:bookmarkStart w:id="54" w:name="_Toc6287"/>
      <w:bookmarkStart w:id="55" w:name="_Toc2656"/>
      <w:bookmarkStart w:id="56" w:name="_Toc4140"/>
      <w:bookmarkStart w:id="57" w:name="_Toc212315100"/>
      <w:bookmarkStart w:id="58" w:name="_Toc212487673"/>
      <w:bookmarkStart w:id="59" w:name="_Toc212823337"/>
      <w:bookmarkStart w:id="60" w:name="_Toc212825789"/>
      <w:bookmarkEnd w:id="52"/>
      <w:r>
        <w:rPr>
          <w:rFonts w:hint="eastAsia"/>
          <w:szCs w:val="21"/>
        </w:rPr>
        <w:t>术语和定义</w:t>
      </w:r>
      <w:bookmarkEnd w:id="50"/>
      <w:bookmarkEnd w:id="51"/>
      <w:bookmarkEnd w:id="53"/>
      <w:bookmarkEnd w:id="54"/>
      <w:bookmarkEnd w:id="55"/>
      <w:bookmarkEnd w:id="56"/>
      <w:bookmarkEnd w:id="57"/>
      <w:bookmarkEnd w:id="58"/>
      <w:bookmarkEnd w:id="59"/>
      <w:bookmarkEnd w:id="60"/>
    </w:p>
    <w:p w14:paraId="60399DFF" w14:textId="77777777" w:rsidR="003F5FF8" w:rsidRDefault="00000000">
      <w:pPr>
        <w:pStyle w:val="afffff7"/>
        <w:ind w:firstLine="420"/>
      </w:pPr>
      <w:r>
        <w:rPr>
          <w:rFonts w:hint="eastAsia"/>
        </w:rPr>
        <w:t>下列术语和定义适用于本文件。</w:t>
      </w:r>
    </w:p>
    <w:p w14:paraId="5B439E19" w14:textId="3E430C0B" w:rsidR="00C3209D" w:rsidRPr="00C3209D" w:rsidRDefault="00C3209D" w:rsidP="00C3209D">
      <w:pPr>
        <w:pStyle w:val="afffffffffff6"/>
        <w:ind w:left="420" w:hangingChars="200" w:hanging="420"/>
        <w:rPr>
          <w:rFonts w:ascii="黑体" w:eastAsia="黑体" w:hAnsi="黑体" w:hint="eastAsia"/>
        </w:rPr>
      </w:pPr>
      <w:bookmarkStart w:id="61" w:name="_Toc30049"/>
      <w:bookmarkStart w:id="62" w:name="_Toc18256"/>
      <w:bookmarkStart w:id="63" w:name="_Toc13894"/>
      <w:bookmarkStart w:id="64" w:name="_Toc212487674"/>
      <w:bookmarkStart w:id="65" w:name="_Toc13108"/>
      <w:bookmarkEnd w:id="61"/>
      <w:bookmarkEnd w:id="62"/>
      <w:bookmarkEnd w:id="63"/>
      <w:r w:rsidRPr="00C3209D">
        <w:rPr>
          <w:rFonts w:ascii="黑体" w:eastAsia="黑体" w:hAnsi="黑体"/>
        </w:rPr>
        <w:br/>
      </w:r>
      <w:r w:rsidRPr="00C3209D">
        <w:rPr>
          <w:rFonts w:ascii="黑体" w:eastAsia="黑体" w:hAnsi="黑体" w:hint="eastAsia"/>
        </w:rPr>
        <w:t>高效空调系统</w:t>
      </w:r>
      <w:r w:rsidRPr="00C3209D">
        <w:rPr>
          <w:rFonts w:ascii="黑体" w:eastAsia="黑体" w:hAnsi="黑体" w:hint="eastAsia"/>
        </w:rPr>
        <w:t xml:space="preserve">  </w:t>
      </w:r>
      <w:r w:rsidRPr="00C3209D">
        <w:rPr>
          <w:rFonts w:ascii="黑体" w:eastAsia="黑体" w:hAnsi="黑体"/>
        </w:rPr>
        <w:t>High - efficiency air - conditioning system</w:t>
      </w:r>
    </w:p>
    <w:p w14:paraId="7660D4D8" w14:textId="12D39D3B" w:rsidR="00C3209D" w:rsidRDefault="00C3209D" w:rsidP="00C3209D">
      <w:pPr>
        <w:pStyle w:val="afffff7"/>
        <w:ind w:firstLine="420"/>
        <w:rPr>
          <w:rFonts w:hint="eastAsia"/>
        </w:rPr>
      </w:pPr>
      <w:r>
        <w:rPr>
          <w:rFonts w:hint="eastAsia"/>
        </w:rPr>
        <w:t>在额定工况下，冷水机组 COP 不低于 4.2、多联式空调机组 IPLV（C）不低于 4.6，采用变频调控、余热回收、热回收新风等节能技术，且系统综合能效比（COPsys）不低于 3.8 的空调系统。</w:t>
      </w:r>
    </w:p>
    <w:p w14:paraId="7FA2C2B9" w14:textId="2D31CB5A" w:rsidR="00C3209D" w:rsidRPr="00C3209D" w:rsidRDefault="00C3209D" w:rsidP="00C3209D">
      <w:pPr>
        <w:pStyle w:val="afffffffffff6"/>
        <w:ind w:left="420" w:hangingChars="200" w:hanging="420"/>
        <w:rPr>
          <w:rFonts w:ascii="黑体" w:eastAsia="黑体" w:hAnsi="黑体" w:hint="eastAsia"/>
        </w:rPr>
      </w:pPr>
      <w:r w:rsidRPr="00C3209D">
        <w:rPr>
          <w:rFonts w:ascii="黑体" w:eastAsia="黑体" w:hAnsi="黑体"/>
        </w:rPr>
        <w:br/>
      </w:r>
      <w:r w:rsidRPr="00C3209D">
        <w:rPr>
          <w:rFonts w:ascii="黑体" w:eastAsia="黑体" w:hAnsi="黑体" w:hint="eastAsia"/>
        </w:rPr>
        <w:t>高效供暖系统</w:t>
      </w:r>
      <w:r w:rsidRPr="00C3209D">
        <w:rPr>
          <w:rFonts w:ascii="黑体" w:eastAsia="黑体" w:hAnsi="黑体" w:hint="eastAsia"/>
        </w:rPr>
        <w:t xml:space="preserve">  </w:t>
      </w:r>
      <w:r w:rsidRPr="00C3209D">
        <w:rPr>
          <w:rFonts w:ascii="黑体" w:eastAsia="黑体" w:hAnsi="黑体"/>
        </w:rPr>
        <w:t>Efficient heating system</w:t>
      </w:r>
    </w:p>
    <w:p w14:paraId="7BD25ABA" w14:textId="5F55F4F2" w:rsidR="00C3209D" w:rsidRDefault="00C3209D" w:rsidP="00C3209D">
      <w:pPr>
        <w:pStyle w:val="afffff7"/>
        <w:ind w:firstLine="420"/>
      </w:pPr>
      <w:r>
        <w:rPr>
          <w:rFonts w:hint="eastAsia"/>
        </w:rPr>
        <w:t>燃气供暖设备额定热效率不低于</w:t>
      </w:r>
      <w:r>
        <w:t xml:space="preserve"> 94%</w:t>
      </w:r>
      <w:r>
        <w:rPr>
          <w:rFonts w:hint="eastAsia"/>
        </w:rPr>
        <w:t>、空气源热泵供暖</w:t>
      </w:r>
      <w:r>
        <w:t xml:space="preserve"> COP</w:t>
      </w:r>
      <w:r>
        <w:rPr>
          <w:rFonts w:hint="eastAsia"/>
        </w:rPr>
        <w:t>（</w:t>
      </w:r>
      <w:r>
        <w:t>-7</w:t>
      </w:r>
      <w:r>
        <w:rPr>
          <w:rFonts w:hint="eastAsia"/>
        </w:rPr>
        <w:t>℃工况）不低于</w:t>
      </w:r>
      <w:r>
        <w:t xml:space="preserve"> 2.1</w:t>
      </w:r>
      <w:r>
        <w:rPr>
          <w:rFonts w:hint="eastAsia"/>
        </w:rPr>
        <w:t>、地源热泵供暖</w:t>
      </w:r>
      <w:r>
        <w:t xml:space="preserve"> COP </w:t>
      </w:r>
      <w:r>
        <w:rPr>
          <w:rFonts w:hint="eastAsia"/>
        </w:rPr>
        <w:t>不低于</w:t>
      </w:r>
      <w:r>
        <w:t xml:space="preserve"> 3.6</w:t>
      </w:r>
      <w:r>
        <w:rPr>
          <w:rFonts w:hint="eastAsia"/>
        </w:rPr>
        <w:t>，输配能效比（</w:t>
      </w:r>
      <w:r>
        <w:t>ER</w:t>
      </w:r>
      <w:r>
        <w:rPr>
          <w:rFonts w:hint="eastAsia"/>
        </w:rPr>
        <w:t>）不高于</w:t>
      </w:r>
      <w:r>
        <w:t xml:space="preserve"> 0.005 kW/</w:t>
      </w:r>
      <w:r>
        <w:rPr>
          <w:rFonts w:hint="eastAsia"/>
        </w:rPr>
        <w:t>（</w:t>
      </w:r>
      <w:r>
        <w:t>kW</w:t>
      </w:r>
      <w:r>
        <w:rPr>
          <w:rFonts w:ascii="微软雅黑" w:eastAsia="微软雅黑" w:hAnsi="微软雅黑" w:cs="微软雅黑" w:hint="eastAsia"/>
        </w:rPr>
        <w:t>・</w:t>
      </w:r>
      <w:r>
        <w:rPr>
          <w:rFonts w:hAnsi="宋体" w:cs="宋体" w:hint="eastAsia"/>
        </w:rPr>
        <w:t>℃）的供暖系统。</w:t>
      </w:r>
    </w:p>
    <w:p w14:paraId="64AFBEE0" w14:textId="6A530EDD" w:rsidR="00C3209D" w:rsidRPr="00C3209D" w:rsidRDefault="00C3209D" w:rsidP="00C3209D">
      <w:pPr>
        <w:pStyle w:val="afffffffffff6"/>
        <w:ind w:left="420" w:hangingChars="200" w:hanging="420"/>
        <w:rPr>
          <w:rFonts w:ascii="黑体" w:eastAsia="黑体" w:hAnsi="黑体" w:hint="eastAsia"/>
        </w:rPr>
      </w:pPr>
      <w:r w:rsidRPr="00C3209D">
        <w:rPr>
          <w:rFonts w:ascii="黑体" w:eastAsia="黑体" w:hAnsi="黑体"/>
        </w:rPr>
        <w:br/>
      </w:r>
      <w:r w:rsidRPr="00C3209D">
        <w:rPr>
          <w:rFonts w:ascii="黑体" w:eastAsia="黑体" w:hAnsi="黑体" w:hint="eastAsia"/>
        </w:rPr>
        <w:t>系统综合能效系数</w:t>
      </w:r>
      <w:r w:rsidRPr="00C3209D">
        <w:rPr>
          <w:rFonts w:ascii="黑体" w:eastAsia="黑体" w:hAnsi="黑体" w:hint="eastAsia"/>
        </w:rPr>
        <w:t xml:space="preserve">  </w:t>
      </w:r>
      <w:r w:rsidRPr="00C3209D">
        <w:rPr>
          <w:rFonts w:ascii="黑体" w:eastAsia="黑体" w:hAnsi="黑体"/>
        </w:rPr>
        <w:t xml:space="preserve">System comprehensive energy efficiency coefficient </w:t>
      </w:r>
    </w:p>
    <w:p w14:paraId="4A3D0EDB" w14:textId="233C8B11" w:rsidR="00B10771" w:rsidRDefault="00C3209D" w:rsidP="00C3209D">
      <w:pPr>
        <w:pStyle w:val="afffff7"/>
        <w:ind w:firstLine="420"/>
      </w:pPr>
      <w:r>
        <w:rPr>
          <w:rFonts w:hint="eastAsia"/>
        </w:rPr>
        <w:t>空调或供暖系统在设计工况下，单位时间内输出的有效冷量或热量与系统总输入功率（含主机、水泵、风机、自控设备等）的比值，计算周期为连续 24 小时稳定运行时段。</w:t>
      </w:r>
    </w:p>
    <w:p w14:paraId="29BF765B" w14:textId="4C287ECB" w:rsidR="00F7740E" w:rsidRDefault="00F7740E" w:rsidP="00F7740E">
      <w:pPr>
        <w:pStyle w:val="affc"/>
        <w:spacing w:before="240" w:after="240"/>
        <w:rPr>
          <w:rFonts w:hint="eastAsia"/>
        </w:rPr>
      </w:pPr>
      <w:bookmarkStart w:id="66" w:name="_Toc212825790"/>
      <w:r>
        <w:rPr>
          <w:rFonts w:hint="eastAsia"/>
        </w:rPr>
        <w:t>技术要求</w:t>
      </w:r>
      <w:bookmarkEnd w:id="66"/>
    </w:p>
    <w:p w14:paraId="312C55CE" w14:textId="48950E82" w:rsidR="00F7740E" w:rsidRDefault="00F7740E" w:rsidP="00F7740E">
      <w:pPr>
        <w:pStyle w:val="affd"/>
        <w:spacing w:before="120" w:after="120"/>
        <w:rPr>
          <w:rFonts w:hint="eastAsia"/>
        </w:rPr>
      </w:pPr>
      <w:bookmarkStart w:id="67" w:name="_Toc212825791"/>
      <w:r>
        <w:rPr>
          <w:rFonts w:hint="eastAsia"/>
        </w:rPr>
        <w:lastRenderedPageBreak/>
        <w:t>设计要求</w:t>
      </w:r>
      <w:bookmarkEnd w:id="67"/>
    </w:p>
    <w:p w14:paraId="6E1F0E21" w14:textId="77777777" w:rsidR="001D7021" w:rsidRDefault="001D7021" w:rsidP="001D7021">
      <w:pPr>
        <w:pStyle w:val="afffffffff3"/>
        <w:rPr>
          <w:rFonts w:hint="eastAsia"/>
        </w:rPr>
      </w:pPr>
      <w:r>
        <w:rPr>
          <w:rFonts w:hint="eastAsia"/>
        </w:rPr>
        <w:t>系统选型应结合建筑所在地气候区域、建筑功能、负荷特性、能源供应条件综合确定。严寒地区（累年日平均温度≤5℃的天数≥145 天）优先选用地源热泵 + 燃气辅助供暖系统，辅助供暖负荷占比不应超过总供暖负荷的 30%；寒冷地区（累年日平均温度≤5℃的天数 90~144 天）可选用空气源热泵系统或燃气壁挂炉供暖系统，空气源热泵系统应配备低温强化换热技术；夏热冬冷地区（累年日平均温度≤5℃的天数 0~89 天、≥25℃的天数 100~200 天）宜采用空气源热泵空调供暖一体机；夏热冬暖地区（累年日平均温度≥25℃的天数≥180 天）优先选用高效多联式空调系统，部分需供暖区域可采用热泵型供暖设备。</w:t>
      </w:r>
    </w:p>
    <w:p w14:paraId="386DE7F9" w14:textId="77777777" w:rsidR="001D7021" w:rsidRDefault="001D7021" w:rsidP="001D7021">
      <w:pPr>
        <w:pStyle w:val="afffffffff3"/>
        <w:rPr>
          <w:rFonts w:hint="eastAsia"/>
        </w:rPr>
      </w:pPr>
      <w:r>
        <w:rPr>
          <w:rFonts w:hint="eastAsia"/>
        </w:rPr>
        <w:t>负荷计算应采用逐时负荷计算法，计算软件需通过国家相关部门认证</w:t>
      </w:r>
      <w:r w:rsidRPr="00733ACF">
        <w:rPr>
          <w:rFonts w:hint="eastAsia"/>
        </w:rPr>
        <w:t>，符合 GB 50189、GB 50019</w:t>
      </w:r>
      <w:r>
        <w:rPr>
          <w:rFonts w:hint="eastAsia"/>
        </w:rPr>
        <w:t xml:space="preserve"> 相关要求，计算误差应控制在 ±5% 以内。计算参数应采用当地近 10 年平均气象数据，包括室外计算干球温度、湿球温度、相对湿度、太阳辐射强度、风向风速等，建筑围护结构热工参数应按实际设计值输入，人员密度、设备功率、照明功率等内部负荷参数应结合建筑功能确定。</w:t>
      </w:r>
    </w:p>
    <w:p w14:paraId="6B690928" w14:textId="77777777" w:rsidR="001D7021" w:rsidRDefault="001D7021" w:rsidP="001D7021">
      <w:pPr>
        <w:pStyle w:val="afffffffff3"/>
        <w:rPr>
          <w:rFonts w:hint="eastAsia"/>
        </w:rPr>
      </w:pPr>
      <w:r>
        <w:rPr>
          <w:rFonts w:hint="eastAsia"/>
        </w:rPr>
        <w:t>设备额定容量与计算负荷的匹配度应控制在 85%~110% 之间。单台主机容量不宜超过计算负荷的 60%，多台主机并联运行时应具备分级启停控制功能，且主机数量不应少于 2 台，确保部分负荷工况下的运行能效。</w:t>
      </w:r>
    </w:p>
    <w:p w14:paraId="37912B3C" w14:textId="77777777" w:rsidR="001D7021" w:rsidRDefault="001D7021" w:rsidP="001D7021">
      <w:pPr>
        <w:pStyle w:val="afffffffff3"/>
        <w:rPr>
          <w:rFonts w:hint="eastAsia"/>
        </w:rPr>
      </w:pPr>
      <w:r>
        <w:rPr>
          <w:rFonts w:hint="eastAsia"/>
        </w:rPr>
        <w:t>管路设计应采用水力平衡技术，同程式系统的各支路阻力偏差不应超过 10%，异程式系统应设置动态平衡阀或自力式流量控制阀。管径选择应根据设计流量和允许流速确定，空调冷水供回水管允许流速为 0.6~1.2 m/s，供暖供回水管允许流速为 0.5~1.0 m/s，风管内空气流速（低速风管）为 3~8 m/s，高速风管不应超过 12 m/s，且应采取消声措施。</w:t>
      </w:r>
    </w:p>
    <w:p w14:paraId="57345F42" w14:textId="77777777" w:rsidR="001D7021" w:rsidRPr="0029013B" w:rsidRDefault="001D7021" w:rsidP="001D7021">
      <w:pPr>
        <w:pStyle w:val="afffffffff3"/>
        <w:rPr>
          <w:rFonts w:hint="eastAsia"/>
        </w:rPr>
      </w:pPr>
      <w:r>
        <w:rPr>
          <w:rFonts w:hint="eastAsia"/>
        </w:rPr>
        <w:t>管路系统的总阻力损失不应超过 30 kPa，其中局部阻力损失占总阻力损失的比例不应超过 40%。阀门、弯头等局部构件应选用低阻力型产品，局部阻力系数应符</w:t>
      </w:r>
      <w:r w:rsidRPr="0029013B">
        <w:rPr>
          <w:rFonts w:hint="eastAsia"/>
        </w:rPr>
        <w:t>合 GB/T 17116 相关要求，三通、四通等管件应采用流线型设计，减少流动损失。</w:t>
      </w:r>
    </w:p>
    <w:p w14:paraId="0F37453D" w14:textId="77777777" w:rsidR="001D7021" w:rsidRDefault="001D7021" w:rsidP="001D7021">
      <w:pPr>
        <w:pStyle w:val="afffffffff3"/>
        <w:rPr>
          <w:rFonts w:hint="eastAsia"/>
        </w:rPr>
      </w:pPr>
      <w:r>
        <w:rPr>
          <w:rFonts w:hint="eastAsia"/>
        </w:rPr>
        <w:t>保温设计应根据管道介质温度、环境温度、保温材料性能及防结露要求计算保温层厚度。空调供回水管及风管保温层厚度不应小于 25 mm，供暖供回水管保温层厚度不应小于 30 mm，室外露天管道保温层厚度应在此基础上增加 20%，低温管道（供水温度≤7℃）保温层厚度不应小于 30 mm。</w:t>
      </w:r>
    </w:p>
    <w:p w14:paraId="5667FBF7" w14:textId="77777777" w:rsidR="001D7021" w:rsidRDefault="001D7021" w:rsidP="001D7021">
      <w:pPr>
        <w:pStyle w:val="afffffffff3"/>
        <w:rPr>
          <w:rFonts w:hint="eastAsia"/>
        </w:rPr>
      </w:pPr>
      <w:r>
        <w:rPr>
          <w:rFonts w:hint="eastAsia"/>
        </w:rPr>
        <w:t>保温材料的防火等级不应低于 B1 级，且应具备防潮、防结露、抗老化性能，氧指数不应低于 32%。管道接口处、阀门、法兰等部位的保温层应连续密封，密封性能应满足在 0.05 MPa 气压下保持 30 分钟无泄漏，保温层外表面应平整，无裂缝、空鼓现象。</w:t>
      </w:r>
    </w:p>
    <w:p w14:paraId="6E3A2585" w14:textId="77777777" w:rsidR="001D7021" w:rsidRDefault="001D7021" w:rsidP="001D7021">
      <w:pPr>
        <w:pStyle w:val="afffffffff3"/>
      </w:pPr>
      <w:r>
        <w:rPr>
          <w:rFonts w:hint="eastAsia"/>
        </w:rPr>
        <w:t>自控系统应具备负荷跟踪、变频调控、分区域控制、故障报警、远程监控等功能。空调系统应在主要功能区、机房设置室内温度、湿度、</w:t>
      </w:r>
      <w:r>
        <w:t>CO</w:t>
      </w:r>
      <w:r>
        <w:t>₂</w:t>
      </w:r>
      <w:r>
        <w:rPr>
          <w:rFonts w:hint="eastAsia"/>
        </w:rPr>
        <w:t>浓度检测传感器，传感器精度：温度</w:t>
      </w:r>
      <w:r>
        <w:t xml:space="preserve"> </w:t>
      </w:r>
      <w:r>
        <w:t>±</w:t>
      </w:r>
      <w:r>
        <w:t>0.3</w:t>
      </w:r>
      <w:r>
        <w:rPr>
          <w:rFonts w:hint="eastAsia"/>
        </w:rPr>
        <w:t>℃、湿度</w:t>
      </w:r>
      <w:r>
        <w:t xml:space="preserve"> </w:t>
      </w:r>
      <w:r>
        <w:t>±</w:t>
      </w:r>
      <w:r>
        <w:t>3% RH</w:t>
      </w:r>
      <w:r>
        <w:rPr>
          <w:rFonts w:hint="eastAsia"/>
        </w:rPr>
        <w:t>、</w:t>
      </w:r>
      <w:r>
        <w:t>CO</w:t>
      </w:r>
      <w:r>
        <w:t>₂</w:t>
      </w:r>
      <w:r>
        <w:rPr>
          <w:rFonts w:hint="eastAsia"/>
        </w:rPr>
        <w:t>浓度</w:t>
      </w:r>
      <w:r>
        <w:t xml:space="preserve"> </w:t>
      </w:r>
      <w:r>
        <w:t>±</w:t>
      </w:r>
      <w:r>
        <w:t>50 ppm</w:t>
      </w:r>
      <w:r>
        <w:rPr>
          <w:rFonts w:hint="eastAsia"/>
        </w:rPr>
        <w:t>；供暖系统应在供回水干管、分支管设置温度、压力、流量检测装置，检测精度：温度</w:t>
      </w:r>
      <w:r>
        <w:t xml:space="preserve"> </w:t>
      </w:r>
      <w:r>
        <w:t>±</w:t>
      </w:r>
      <w:r>
        <w:t>0.2</w:t>
      </w:r>
      <w:r>
        <w:rPr>
          <w:rFonts w:hint="eastAsia"/>
        </w:rPr>
        <w:t>℃、压力</w:t>
      </w:r>
      <w:r>
        <w:t xml:space="preserve"> </w:t>
      </w:r>
      <w:r>
        <w:t>±</w:t>
      </w:r>
      <w:r>
        <w:t>0.01 MPa</w:t>
      </w:r>
      <w:r>
        <w:rPr>
          <w:rFonts w:hint="eastAsia"/>
        </w:rPr>
        <w:t>、流量</w:t>
      </w:r>
      <w:r>
        <w:t xml:space="preserve"> </w:t>
      </w:r>
      <w:r>
        <w:t>±</w:t>
      </w:r>
      <w:r>
        <w:t>1%</w:t>
      </w:r>
      <w:r>
        <w:rPr>
          <w:rFonts w:hint="eastAsia"/>
        </w:rPr>
        <w:t>。</w:t>
      </w:r>
    </w:p>
    <w:p w14:paraId="47BE43A5" w14:textId="77777777" w:rsidR="001D7021" w:rsidRDefault="001D7021" w:rsidP="001D7021">
      <w:pPr>
        <w:pStyle w:val="afffffffff3"/>
        <w:rPr>
          <w:rFonts w:hint="eastAsia"/>
        </w:rPr>
      </w:pPr>
      <w:r>
        <w:rPr>
          <w:rFonts w:hint="eastAsia"/>
        </w:rPr>
        <w:t>分区域控制应按建筑功能分区、朝向分区、使用时间分区设置独立控制回路，每个控制回路应配备独立的温控器、执行器，温度调节精度为 ±0.5℃。办公建筑应按办公区、会议室、走廊、卫生间等分区控制，商场应按营业厅、库房、办公区分区控制，医院应按病房、手术室、门诊区分区控制。</w:t>
      </w:r>
    </w:p>
    <w:p w14:paraId="6935F32C" w14:textId="77777777" w:rsidR="001D7021" w:rsidRDefault="001D7021" w:rsidP="001D7021">
      <w:pPr>
        <w:pStyle w:val="afffffffff3"/>
      </w:pPr>
      <w:r>
        <w:rPr>
          <w:rFonts w:hint="eastAsia"/>
        </w:rPr>
        <w:t>新风系统设计应优先采用热回收技术，热回收效率不应低于</w:t>
      </w:r>
      <w:r>
        <w:t xml:space="preserve"> 60%</w:t>
      </w:r>
      <w:r>
        <w:rPr>
          <w:rFonts w:hint="eastAsia"/>
        </w:rPr>
        <w:t>，新风量应按每人每小时</w:t>
      </w:r>
      <w:r>
        <w:t xml:space="preserve"> 30 m</w:t>
      </w:r>
      <w:r>
        <w:t>³</w:t>
      </w:r>
      <w:r>
        <w:t xml:space="preserve"> </w:t>
      </w:r>
      <w:r>
        <w:rPr>
          <w:rFonts w:hint="eastAsia"/>
        </w:rPr>
        <w:t>计算，且不应低于建筑总风量的</w:t>
      </w:r>
      <w:r>
        <w:t xml:space="preserve"> 10%</w:t>
      </w:r>
      <w:r>
        <w:rPr>
          <w:rFonts w:hint="eastAsia"/>
        </w:rPr>
        <w:t>。人员密集场所（商场、会议室、教室）新风量应按每人每小时</w:t>
      </w:r>
      <w:r>
        <w:t xml:space="preserve"> 40 m</w:t>
      </w:r>
      <w:r>
        <w:t>³</w:t>
      </w:r>
      <w:r>
        <w:t xml:space="preserve"> </w:t>
      </w:r>
      <w:r>
        <w:rPr>
          <w:rFonts w:hint="eastAsia"/>
        </w:rPr>
        <w:t>计算，且应具备</w:t>
      </w:r>
      <w:r>
        <w:t xml:space="preserve"> CO</w:t>
      </w:r>
      <w:r>
        <w:t>₂</w:t>
      </w:r>
      <w:r>
        <w:rPr>
          <w:rFonts w:hint="eastAsia"/>
        </w:rPr>
        <w:t>浓度联动控制功能，当</w:t>
      </w:r>
      <w:r>
        <w:t xml:space="preserve"> CO</w:t>
      </w:r>
      <w:r>
        <w:t>₂</w:t>
      </w:r>
      <w:r>
        <w:rPr>
          <w:rFonts w:hint="eastAsia"/>
        </w:rPr>
        <w:t>浓度超过</w:t>
      </w:r>
      <w:r>
        <w:t xml:space="preserve"> 1000 ppm </w:t>
      </w:r>
      <w:r>
        <w:rPr>
          <w:rFonts w:hint="eastAsia"/>
        </w:rPr>
        <w:t>时自动增大新风量。</w:t>
      </w:r>
    </w:p>
    <w:p w14:paraId="55BEBDD8" w14:textId="77777777" w:rsidR="001D7021" w:rsidRDefault="001D7021" w:rsidP="001D7021">
      <w:pPr>
        <w:pStyle w:val="afffffffff3"/>
        <w:rPr>
          <w:rFonts w:hint="eastAsia"/>
        </w:rPr>
      </w:pPr>
      <w:r>
        <w:rPr>
          <w:rFonts w:hint="eastAsia"/>
        </w:rPr>
        <w:t>地源热泵系统设计应进行地质勘察，明确土壤导热系数、地下水水位、水质等参数，地埋管换热器设计应符合 JGJ 142 要求，换热孔间距不应小于 4 m，钻孔深度应根据当地地质条件确定，且不应小于 60 m，地埋管管材应选用高密度聚乙烯管（HDPE），压力等级不应低于 1.0 MPa。</w:t>
      </w:r>
    </w:p>
    <w:p w14:paraId="1B0C20A1" w14:textId="57E22837" w:rsidR="00F7740E" w:rsidRDefault="001D7021" w:rsidP="001D7021">
      <w:pPr>
        <w:pStyle w:val="afffffffff3"/>
        <w:rPr>
          <w:rFonts w:hint="eastAsia"/>
        </w:rPr>
      </w:pPr>
      <w:r>
        <w:rPr>
          <w:rFonts w:hint="eastAsia"/>
        </w:rPr>
        <w:t>辐射供冷供暖系统设计应符合 T/CECS 654 要求，盘管间距应根据室内负荷确定，供暖时盘管间距不宜大于 300 mm，供冷时不宜大于 250 mm，盘管埋深不应小于 15 mm，且不应破坏建筑结构层。系统应设置防结露控制装置，当室内相对湿度超过 70% 时自动调整供水温度或停止供冷</w:t>
      </w:r>
      <w:r w:rsidR="00F7740E">
        <w:rPr>
          <w:rFonts w:hint="eastAsia"/>
        </w:rPr>
        <w:t>。</w:t>
      </w:r>
    </w:p>
    <w:p w14:paraId="3B4C78E9" w14:textId="195A661F" w:rsidR="00F7740E" w:rsidRDefault="00F7740E" w:rsidP="00F7740E">
      <w:pPr>
        <w:pStyle w:val="affd"/>
        <w:spacing w:before="120" w:after="120"/>
        <w:rPr>
          <w:rFonts w:hint="eastAsia"/>
        </w:rPr>
      </w:pPr>
      <w:bookmarkStart w:id="68" w:name="_Toc212825792"/>
      <w:r>
        <w:rPr>
          <w:rFonts w:hint="eastAsia"/>
        </w:rPr>
        <w:t>设备要求</w:t>
      </w:r>
      <w:bookmarkEnd w:id="68"/>
    </w:p>
    <w:p w14:paraId="205259A9" w14:textId="77777777" w:rsidR="004378A7" w:rsidRDefault="004378A7" w:rsidP="004378A7">
      <w:pPr>
        <w:pStyle w:val="afffffffff3"/>
        <w:rPr>
          <w:rFonts w:hint="eastAsia"/>
        </w:rPr>
      </w:pPr>
      <w:r>
        <w:rPr>
          <w:rFonts w:hint="eastAsia"/>
        </w:rPr>
        <w:t xml:space="preserve">冷水机组能效应符合 </w:t>
      </w:r>
      <w:r w:rsidRPr="0029013B">
        <w:rPr>
          <w:rFonts w:hint="eastAsia"/>
        </w:rPr>
        <w:t>GB/T 18430.1 要求</w:t>
      </w:r>
      <w:r>
        <w:rPr>
          <w:rFonts w:hint="eastAsia"/>
        </w:rPr>
        <w:t xml:space="preserve">，额定制冷工况（供水 7℃、回水 12℃、室外 35℃）下 COP 不应低于 4.2，IPLV（C）不应低于 5.0；低温冷水机组（供水 5℃、回水 10℃、室外 35℃）COP 不应低于 4.0，IPLV（C）不应低于 4.8；螺杆式冷水机组 COP 不应低于 4.5，离心式冷水机组 </w:t>
      </w:r>
      <w:r>
        <w:rPr>
          <w:rFonts w:hint="eastAsia"/>
        </w:rPr>
        <w:lastRenderedPageBreak/>
        <w:t>COP 不应低于 5.2。</w:t>
      </w:r>
    </w:p>
    <w:p w14:paraId="1246792C" w14:textId="77777777" w:rsidR="004378A7" w:rsidRDefault="004378A7" w:rsidP="004378A7">
      <w:pPr>
        <w:pStyle w:val="afffffffff3"/>
        <w:rPr>
          <w:rFonts w:hint="eastAsia"/>
        </w:rPr>
      </w:pPr>
      <w:r>
        <w:rPr>
          <w:rFonts w:hint="eastAsia"/>
        </w:rPr>
        <w:t>多联式空调（热泵）机组能效应符</w:t>
      </w:r>
      <w:r w:rsidRPr="0029013B">
        <w:rPr>
          <w:rFonts w:hint="eastAsia"/>
        </w:rPr>
        <w:t>合 GB/T 25127.2 要</w:t>
      </w:r>
      <w:r>
        <w:rPr>
          <w:rFonts w:hint="eastAsia"/>
        </w:rPr>
        <w:t>求，额定制冷工况（室内 27℃DB/19℃WB、室外 35℃DB/24℃WB）下 IPLV（C）不应低于 4.6，额定制暖工况（室内 20℃DB、室外 7℃DB/6℃WB）下 IPLV（H）不应低于 4.3；低温工况（室内 20℃DB、室外 - 12℃DB）下供暖 COP 不应低于 1.8，制热量不应低于额定制热量的 80%。</w:t>
      </w:r>
    </w:p>
    <w:p w14:paraId="34A3391E" w14:textId="77777777" w:rsidR="004378A7" w:rsidRDefault="004378A7" w:rsidP="004378A7">
      <w:pPr>
        <w:pStyle w:val="afffffffff3"/>
        <w:rPr>
          <w:rFonts w:hint="eastAsia"/>
        </w:rPr>
      </w:pPr>
      <w:r>
        <w:rPr>
          <w:rFonts w:hint="eastAsia"/>
        </w:rPr>
        <w:t>空气源热泵供暖机组在室外环境温度 - 7℃工况（供水 45℃、回水 40℃）下，供暖 COP 不应低于 2.1；-12℃工况（供水 40℃、回水 35℃）下供暖 COP 不应低于 1.8；-20℃工况（供水 35℃、回水 30℃）下供暖 COP 不应低于 1.5，且能稳定输出额定热量的 80% 以上，启动温度不应高于 - 25℃。</w:t>
      </w:r>
    </w:p>
    <w:p w14:paraId="74D30D36" w14:textId="77777777" w:rsidR="004378A7" w:rsidRDefault="004378A7" w:rsidP="004378A7">
      <w:pPr>
        <w:pStyle w:val="afffffffff3"/>
        <w:rPr>
          <w:rFonts w:hint="eastAsia"/>
        </w:rPr>
      </w:pPr>
      <w:r>
        <w:rPr>
          <w:rFonts w:hint="eastAsia"/>
        </w:rPr>
        <w:t>燃气供暖锅炉（含燃气壁挂炉）热效率应符合 CJ/T 195、CJ/T 395 要求，额定热效率不应低于 94%，部分负荷热效率（30% 额定负荷）不应低于 88%，排烟温度不应高于 120℃，NOx 排放浓度不应高于 50 mg/m³（基准含氧量 3.5%）。</w:t>
      </w:r>
    </w:p>
    <w:p w14:paraId="5FAEBE3C" w14:textId="77777777" w:rsidR="004378A7" w:rsidRDefault="004378A7" w:rsidP="004378A7">
      <w:pPr>
        <w:pStyle w:val="afffffffff3"/>
      </w:pPr>
      <w:r>
        <w:rPr>
          <w:rFonts w:hint="eastAsia"/>
        </w:rPr>
        <w:t>地源热泵机组在标准工况下（制冷：供水</w:t>
      </w:r>
      <w:r>
        <w:t xml:space="preserve"> 7</w:t>
      </w:r>
      <w:r>
        <w:rPr>
          <w:rFonts w:hint="eastAsia"/>
        </w:rPr>
        <w:t>℃、回水</w:t>
      </w:r>
      <w:r>
        <w:t xml:space="preserve"> 12</w:t>
      </w:r>
      <w:r>
        <w:rPr>
          <w:rFonts w:hint="eastAsia"/>
        </w:rPr>
        <w:t>℃、地源侧供水</w:t>
      </w:r>
      <w:r>
        <w:t xml:space="preserve"> 30</w:t>
      </w:r>
      <w:r>
        <w:rPr>
          <w:rFonts w:hint="eastAsia"/>
        </w:rPr>
        <w:t>℃、回水</w:t>
      </w:r>
      <w:r>
        <w:t xml:space="preserve"> 35</w:t>
      </w:r>
      <w:r>
        <w:rPr>
          <w:rFonts w:hint="eastAsia"/>
        </w:rPr>
        <w:t>℃；供暖：供水</w:t>
      </w:r>
      <w:r>
        <w:t xml:space="preserve"> 45</w:t>
      </w:r>
      <w:r>
        <w:rPr>
          <w:rFonts w:hint="eastAsia"/>
        </w:rPr>
        <w:t>℃、回水</w:t>
      </w:r>
      <w:r>
        <w:t xml:space="preserve"> 40</w:t>
      </w:r>
      <w:r>
        <w:rPr>
          <w:rFonts w:hint="eastAsia"/>
        </w:rPr>
        <w:t>℃、地源侧供水</w:t>
      </w:r>
      <w:r>
        <w:t xml:space="preserve"> 15</w:t>
      </w:r>
      <w:r>
        <w:rPr>
          <w:rFonts w:hint="eastAsia"/>
        </w:rPr>
        <w:t>℃、回水</w:t>
      </w:r>
      <w:r>
        <w:t xml:space="preserve"> 10</w:t>
      </w:r>
      <w:r>
        <w:rPr>
          <w:rFonts w:hint="eastAsia"/>
        </w:rPr>
        <w:t>℃），制冷</w:t>
      </w:r>
      <w:r>
        <w:t xml:space="preserve"> COP </w:t>
      </w:r>
      <w:r>
        <w:rPr>
          <w:rFonts w:hint="eastAsia"/>
        </w:rPr>
        <w:t>不应低于</w:t>
      </w:r>
      <w:r>
        <w:t xml:space="preserve"> 4.5</w:t>
      </w:r>
      <w:r>
        <w:rPr>
          <w:rFonts w:hint="eastAsia"/>
        </w:rPr>
        <w:t>，供暖</w:t>
      </w:r>
      <w:r>
        <w:t xml:space="preserve"> COP </w:t>
      </w:r>
      <w:r>
        <w:rPr>
          <w:rFonts w:hint="eastAsia"/>
        </w:rPr>
        <w:t>不应低于</w:t>
      </w:r>
      <w:r>
        <w:t xml:space="preserve"> 4.8</w:t>
      </w:r>
      <w:r>
        <w:rPr>
          <w:rFonts w:hint="eastAsia"/>
        </w:rPr>
        <w:t>；土壤源热泵系统的地埋管换热系数不应低于</w:t>
      </w:r>
      <w:r>
        <w:t xml:space="preserve"> 2.5 W/</w:t>
      </w:r>
      <w:r>
        <w:rPr>
          <w:rFonts w:hint="eastAsia"/>
        </w:rPr>
        <w:t>（</w:t>
      </w:r>
      <w:r>
        <w:t>m</w:t>
      </w:r>
      <w:r>
        <w:rPr>
          <w:rFonts w:ascii="微软雅黑" w:eastAsia="微软雅黑" w:hAnsi="微软雅黑" w:cs="微软雅黑" w:hint="eastAsia"/>
        </w:rPr>
        <w:t>・</w:t>
      </w:r>
      <w:r>
        <w:t>K</w:t>
      </w:r>
      <w:r>
        <w:rPr>
          <w:rFonts w:hint="eastAsia"/>
        </w:rPr>
        <w:t>），水源热泵系统的水源侧换热系数不应低于</w:t>
      </w:r>
      <w:r>
        <w:t xml:space="preserve"> 3.0 W/</w:t>
      </w:r>
      <w:r>
        <w:rPr>
          <w:rFonts w:hint="eastAsia"/>
        </w:rPr>
        <w:t>（</w:t>
      </w:r>
      <w:r>
        <w:t>m</w:t>
      </w:r>
      <w:r>
        <w:rPr>
          <w:rFonts w:ascii="微软雅黑" w:eastAsia="微软雅黑" w:hAnsi="微软雅黑" w:cs="微软雅黑" w:hint="eastAsia"/>
        </w:rPr>
        <w:t>・</w:t>
      </w:r>
      <w:r>
        <w:t>K</w:t>
      </w:r>
      <w:r>
        <w:rPr>
          <w:rFonts w:hint="eastAsia"/>
        </w:rPr>
        <w:t>）。</w:t>
      </w:r>
    </w:p>
    <w:p w14:paraId="4DC4FA1C" w14:textId="77777777" w:rsidR="004378A7" w:rsidRPr="0029013B" w:rsidRDefault="004378A7" w:rsidP="004378A7">
      <w:pPr>
        <w:pStyle w:val="afffffffff3"/>
        <w:rPr>
          <w:rFonts w:hint="eastAsia"/>
        </w:rPr>
      </w:pPr>
      <w:r>
        <w:rPr>
          <w:rFonts w:hint="eastAsia"/>
        </w:rPr>
        <w:t>水泵能效等级应</w:t>
      </w:r>
      <w:r w:rsidRPr="0029013B">
        <w:rPr>
          <w:rFonts w:hint="eastAsia"/>
        </w:rPr>
        <w:t>符合 GB 18613 要求，应选用 2 级及以上能效产品，额定工况下水泵效率不应低于 75%，且应具备变频调节功能，调节范围为 30%~100% 额定流量，变频控制器精度不应低于 ±1%，水泵运行噪声不应超过 65 dB（A）。</w:t>
      </w:r>
    </w:p>
    <w:p w14:paraId="18BBD6BF" w14:textId="77777777" w:rsidR="004378A7" w:rsidRDefault="004378A7" w:rsidP="004378A7">
      <w:pPr>
        <w:pStyle w:val="afffffffff3"/>
        <w:rPr>
          <w:rFonts w:hint="eastAsia"/>
        </w:rPr>
      </w:pPr>
      <w:r w:rsidRPr="0029013B">
        <w:rPr>
          <w:rFonts w:hint="eastAsia"/>
        </w:rPr>
        <w:t>风机能效等级应符合 GB/T 13470、GB/T 20109 要求，应选用 1 级能效产品，额定工况下风机效率不应低于 82%，单位风量耗功率不应超过 0.28</w:t>
      </w:r>
      <w:r>
        <w:rPr>
          <w:rFonts w:hint="eastAsia"/>
        </w:rPr>
        <w:t xml:space="preserve"> kW/（1000 m³/h），风机转速调节应支持变频控制，调节范围为 30%~100% 额定风量。</w:t>
      </w:r>
    </w:p>
    <w:p w14:paraId="792A174E" w14:textId="77777777" w:rsidR="004378A7" w:rsidRDefault="004378A7" w:rsidP="004378A7">
      <w:pPr>
        <w:pStyle w:val="afffffffff3"/>
      </w:pPr>
      <w:r>
        <w:rPr>
          <w:rFonts w:hint="eastAsia"/>
        </w:rPr>
        <w:t>末端设备应选用高效节能型产品，风机盘管机组的能效值（</w:t>
      </w:r>
      <w:r>
        <w:t>EER</w:t>
      </w:r>
      <w:r>
        <w:rPr>
          <w:rFonts w:hint="eastAsia"/>
        </w:rPr>
        <w:t>）不应低于</w:t>
      </w:r>
      <w:r>
        <w:t xml:space="preserve"> 3.2 W/W</w:t>
      </w:r>
      <w:r>
        <w:rPr>
          <w:rFonts w:hint="eastAsia"/>
        </w:rPr>
        <w:t>，额定风量下的噪声不应超过</w:t>
      </w:r>
      <w:r>
        <w:t xml:space="preserve"> 45 dB</w:t>
      </w:r>
      <w:r>
        <w:rPr>
          <w:rFonts w:hint="eastAsia"/>
        </w:rPr>
        <w:t>（</w:t>
      </w:r>
      <w:r>
        <w:t>A</w:t>
      </w:r>
      <w:r>
        <w:rPr>
          <w:rFonts w:hint="eastAsia"/>
        </w:rPr>
        <w:t>）；组合式空调机组的单位风量耗功率不应超过</w:t>
      </w:r>
      <w:r>
        <w:t xml:space="preserve"> 0.32 kW/</w:t>
      </w:r>
      <w:r>
        <w:rPr>
          <w:rFonts w:hint="eastAsia"/>
        </w:rPr>
        <w:t>（</w:t>
      </w:r>
      <w:r>
        <w:t>1000 m</w:t>
      </w:r>
      <w:r>
        <w:t>³</w:t>
      </w:r>
      <w:r>
        <w:t>/h</w:t>
      </w:r>
      <w:r>
        <w:rPr>
          <w:rFonts w:hint="eastAsia"/>
        </w:rPr>
        <w:t>），热交换效率不应低于</w:t>
      </w:r>
      <w:r>
        <w:t xml:space="preserve"> 85%</w:t>
      </w:r>
      <w:r>
        <w:rPr>
          <w:rFonts w:hint="eastAsia"/>
        </w:rPr>
        <w:t>；散热器应选用铜铝复合或钢制高效散热器，散热量应符合设计要求，金属热强度不应低于</w:t>
      </w:r>
      <w:r>
        <w:t xml:space="preserve"> 1.2 W/</w:t>
      </w:r>
      <w:r>
        <w:rPr>
          <w:rFonts w:hint="eastAsia"/>
        </w:rPr>
        <w:t>（</w:t>
      </w:r>
      <w:r>
        <w:t>kg</w:t>
      </w:r>
      <w:r>
        <w:rPr>
          <w:rFonts w:ascii="微软雅黑" w:eastAsia="微软雅黑" w:hAnsi="微软雅黑" w:cs="微软雅黑" w:hint="eastAsia"/>
        </w:rPr>
        <w:t>・</w:t>
      </w:r>
      <w:r>
        <w:rPr>
          <w:rFonts w:hAnsi="宋体" w:cs="宋体" w:hint="eastAsia"/>
        </w:rPr>
        <w:t>℃）。</w:t>
      </w:r>
    </w:p>
    <w:p w14:paraId="5ECCF4D5" w14:textId="77777777" w:rsidR="004378A7" w:rsidRDefault="004378A7" w:rsidP="004378A7">
      <w:pPr>
        <w:pStyle w:val="afffffffff3"/>
        <w:rPr>
          <w:rFonts w:hint="eastAsia"/>
        </w:rPr>
      </w:pPr>
      <w:r>
        <w:rPr>
          <w:rFonts w:hint="eastAsia"/>
        </w:rPr>
        <w:t>热回收装置应选用高效型产品，显热回收效率不应低于 70%，全热回收效率不应低于 60%，压力损失不应超过 150 Pa，且应具备防污堵、易清洗功能，材质应耐腐蚀、抗老化。</w:t>
      </w:r>
    </w:p>
    <w:p w14:paraId="34EA13D0" w14:textId="6EF6295A" w:rsidR="00F7740E" w:rsidRDefault="004378A7" w:rsidP="004378A7">
      <w:pPr>
        <w:pStyle w:val="afffffffff3"/>
        <w:rPr>
          <w:rFonts w:hint="eastAsia"/>
        </w:rPr>
      </w:pPr>
      <w:r>
        <w:rPr>
          <w:rFonts w:hint="eastAsia"/>
        </w:rPr>
        <w:t>设备接口应符合国家相关标准，具备 Modbus、BACnet 等标准化通信协议，支持与楼宇自控系统（BMS）无缝对接，实现数据交互与集中控制，设备应预留远程监控接口，支持运行状态实时上传、故障报警及远程控制功能</w:t>
      </w:r>
      <w:r w:rsidR="00F7740E">
        <w:rPr>
          <w:rFonts w:hint="eastAsia"/>
        </w:rPr>
        <w:t>。</w:t>
      </w:r>
    </w:p>
    <w:p w14:paraId="1306EF7A" w14:textId="3C0C8562" w:rsidR="00F7740E" w:rsidRDefault="00F7740E" w:rsidP="00F7740E">
      <w:pPr>
        <w:pStyle w:val="affd"/>
        <w:spacing w:before="120" w:after="120"/>
        <w:rPr>
          <w:rFonts w:hint="eastAsia"/>
        </w:rPr>
      </w:pPr>
      <w:bookmarkStart w:id="69" w:name="_Toc212825793"/>
      <w:r>
        <w:rPr>
          <w:rFonts w:hint="eastAsia"/>
        </w:rPr>
        <w:t>施工与安装要求</w:t>
      </w:r>
      <w:bookmarkEnd w:id="69"/>
    </w:p>
    <w:p w14:paraId="3962457F" w14:textId="77777777" w:rsidR="009312F0" w:rsidRDefault="009312F0" w:rsidP="009312F0">
      <w:pPr>
        <w:pStyle w:val="afffffffff3"/>
        <w:rPr>
          <w:rFonts w:hint="eastAsia"/>
        </w:rPr>
      </w:pPr>
      <w:r>
        <w:rPr>
          <w:rFonts w:hint="eastAsia"/>
        </w:rPr>
        <w:t>施工前应进行技术交底，交底内容包括设计文件、施工方案、质量要求、安全规范、节能控制要点等，交底记录应由交底人、被交底人、监理人签字确认后存档备查。施工单位应具备建筑机电安装工程专业承包二级及以上资质，施工人员应持有相应的特种作业操作证书（电工、焊工、制冷与空调作业等）。</w:t>
      </w:r>
    </w:p>
    <w:p w14:paraId="0A10E57E" w14:textId="77777777" w:rsidR="009312F0" w:rsidRDefault="009312F0" w:rsidP="009312F0">
      <w:pPr>
        <w:pStyle w:val="afffffffff3"/>
        <w:rPr>
          <w:rFonts w:hint="eastAsia"/>
        </w:rPr>
      </w:pPr>
      <w:r>
        <w:rPr>
          <w:rFonts w:hint="eastAsia"/>
        </w:rPr>
        <w:t>设备进场检验应包括外观检查、参数核对、性能抽检。外观无破损、锈蚀、变形，漆面完好，标识清晰；型号规格、额定参数与设计文件一致，产品合格证、第三方检测报告齐全；关键性能参数抽检应包括制冷量 / 制热量、输入功率、能效比等，抽检合格率应达到 100%，不合格产品不得进场。</w:t>
      </w:r>
    </w:p>
    <w:p w14:paraId="4540C9C5" w14:textId="77777777" w:rsidR="009312F0" w:rsidRDefault="009312F0" w:rsidP="009312F0">
      <w:pPr>
        <w:pStyle w:val="afffffffff3"/>
        <w:rPr>
          <w:rFonts w:hint="eastAsia"/>
        </w:rPr>
      </w:pPr>
      <w:r>
        <w:rPr>
          <w:rFonts w:hint="eastAsia"/>
        </w:rPr>
        <w:t>管道安装前应进行除锈、脱脂处理，钢管内壁除锈等级应达到 Sa2.5 级，铜管应采用机械脱脂，脱脂后应进行吹扫检验。管道焊接接口应采用氩弧焊打底、电弧焊填充，焊接质量应符</w:t>
      </w:r>
      <w:r w:rsidRPr="0029013B">
        <w:rPr>
          <w:rFonts w:hint="eastAsia"/>
        </w:rPr>
        <w:t>合 GB 50236 要求，焊缝无损检测（射线检测或超声波检测）合格率应达到 100%，焊缝外观无夹渣、气孔、裂</w:t>
      </w:r>
      <w:r>
        <w:rPr>
          <w:rFonts w:hint="eastAsia"/>
        </w:rPr>
        <w:t>纹等缺陷。</w:t>
      </w:r>
    </w:p>
    <w:p w14:paraId="618970D8" w14:textId="77777777" w:rsidR="009312F0" w:rsidRDefault="009312F0" w:rsidP="009312F0">
      <w:pPr>
        <w:pStyle w:val="afffffffff3"/>
        <w:rPr>
          <w:rFonts w:hint="eastAsia"/>
        </w:rPr>
      </w:pPr>
      <w:r>
        <w:rPr>
          <w:rFonts w:hint="eastAsia"/>
        </w:rPr>
        <w:t>阀门安装应垂直或水平布置，阀门开启方向应一致，且便于操作和维护，阀门手柄不应朝下。动态平衡阀、调节阀应安装在便于调试的位置，且应配备压力表、温度计接口，接口规格不应小于 DN15。阀门安装前应进行强度试验和严密性试验，强度试验压力为设计压力的 1.5 倍，严密性试验压力为设计压力的 1.1 倍，试验合格后方可安装。</w:t>
      </w:r>
    </w:p>
    <w:p w14:paraId="70BAE5FB" w14:textId="77777777" w:rsidR="009312F0" w:rsidRDefault="009312F0" w:rsidP="009312F0">
      <w:pPr>
        <w:pStyle w:val="afffffffff3"/>
        <w:rPr>
          <w:rFonts w:hint="eastAsia"/>
        </w:rPr>
      </w:pPr>
      <w:r>
        <w:rPr>
          <w:rFonts w:hint="eastAsia"/>
        </w:rPr>
        <w:lastRenderedPageBreak/>
        <w:t>保温施工应在管道压力试验合格、管道表面干燥后进行，保温层应紧贴管道表面，无空隙、褶皱、松动，接缝处应采用专用粘结剂密封，密封宽度不应小于 50 mm，搭接长度不应小于 100 mm。室外管道保温层外应增设高密度聚乙烯防护壳，防护壳厚度不应小于 3 mm，具备抗紫外线、抗老化、防机械损伤性能。</w:t>
      </w:r>
    </w:p>
    <w:p w14:paraId="4D15D461" w14:textId="77777777" w:rsidR="009312F0" w:rsidRPr="0029013B" w:rsidRDefault="009312F0" w:rsidP="009312F0">
      <w:pPr>
        <w:pStyle w:val="afffffffff3"/>
        <w:rPr>
          <w:rFonts w:hint="eastAsia"/>
        </w:rPr>
      </w:pPr>
      <w:r>
        <w:rPr>
          <w:rFonts w:hint="eastAsia"/>
        </w:rPr>
        <w:t>风管安装应平整牢固，风管连接法兰垫片应采用不燃</w:t>
      </w:r>
      <w:r w:rsidRPr="0029013B">
        <w:rPr>
          <w:rFonts w:hint="eastAsia"/>
        </w:rPr>
        <w:t>材料（如石棉橡胶板、硅橡胶板），垫片厚度不应小于 3 mm，垫片不应凸入风管内部。风管支吊架间距应符合 GB 50243 要求，水平风管支吊架间距不应大于 3 m，垂直风管支吊架间距不应大于 4 m，支吊架与风管接触处应垫防腐木托，木托厚度与保温层厚度一致。</w:t>
      </w:r>
    </w:p>
    <w:p w14:paraId="5981735D" w14:textId="77777777" w:rsidR="009312F0" w:rsidRDefault="009312F0" w:rsidP="009312F0">
      <w:pPr>
        <w:pStyle w:val="afffffffff3"/>
        <w:rPr>
          <w:rFonts w:hint="eastAsia"/>
        </w:rPr>
      </w:pPr>
      <w:r w:rsidRPr="0029013B">
        <w:rPr>
          <w:rFonts w:hint="eastAsia"/>
        </w:rPr>
        <w:t>风管漏风量应符合 GB 50243 要求，低压风管（工作压力≤500 Pa）漏风率不应超过 3%，中压风管（500 Pa＜工作压力≤1500 Pa）漏风率不应超过 2%，高压风管（</w:t>
      </w:r>
      <w:r>
        <w:rPr>
          <w:rFonts w:hint="eastAsia"/>
        </w:rPr>
        <w:t>工作压力＞1500 Pa）漏风率不应超过 1%。风管严密性试验应按设计工作压力分级进行，试验合格后方可进行后续施工。</w:t>
      </w:r>
    </w:p>
    <w:p w14:paraId="5633A6BA" w14:textId="77777777" w:rsidR="009312F0" w:rsidRDefault="009312F0" w:rsidP="009312F0">
      <w:pPr>
        <w:pStyle w:val="afffffffff3"/>
        <w:rPr>
          <w:rFonts w:hint="eastAsia"/>
        </w:rPr>
      </w:pPr>
      <w:r>
        <w:rPr>
          <w:rFonts w:hint="eastAsia"/>
        </w:rPr>
        <w:t>水管压力试验应按设计压力的 1.5 倍进行，试验压力保持 30 分钟，压降不应超过 0.05 MPa，且无渗漏、无可见变形。试验介质宜采用洁净水，冬季施工时应采取防冻措施，试验合格后应及时排空管道内积水，并用压缩空气吹扫干净。</w:t>
      </w:r>
    </w:p>
    <w:p w14:paraId="169015A6" w14:textId="77777777" w:rsidR="009312F0" w:rsidRDefault="009312F0" w:rsidP="009312F0">
      <w:pPr>
        <w:pStyle w:val="afffffffff3"/>
        <w:rPr>
          <w:rFonts w:hint="eastAsia"/>
        </w:rPr>
      </w:pPr>
      <w:r>
        <w:rPr>
          <w:rFonts w:hint="eastAsia"/>
        </w:rPr>
        <w:t>设备安装应按设计图纸及产品说明书要求进行，安装位置应便于操作、维护和检修，设备基础应平整牢固，承载力不应低于设备重量的 1.5 倍，基础平整度偏差不应超过 2 mm/m。设备安装水平度偏差不应超过 0.1 mm/m，垂直度偏差不应超过 0.2 mm/m，多台并联设备安装高度应一致，间距不应小于 0.8 m。</w:t>
      </w:r>
    </w:p>
    <w:p w14:paraId="309B403F" w14:textId="77777777" w:rsidR="009312F0" w:rsidRPr="0029013B" w:rsidRDefault="009312F0" w:rsidP="009312F0">
      <w:pPr>
        <w:pStyle w:val="afffffffff3"/>
        <w:rPr>
          <w:rFonts w:hint="eastAsia"/>
        </w:rPr>
      </w:pPr>
      <w:r>
        <w:rPr>
          <w:rFonts w:hint="eastAsia"/>
        </w:rPr>
        <w:t xml:space="preserve">系统调试应包括单机试运转、系统联运试运转及性能测试。单机试运转时间不应少于 2 小时，运行参数（电流、电压、转速、噪声、振动等）应符合产品说明书要求；系统联运试运转时间不应少于 8 小时，系统各部件运行协调，无异常噪声、振动，水力平衡调试后各支路流量偏差不应超过 5%，室内温度均匀性偏差不应超过 </w:t>
      </w:r>
      <w:r w:rsidRPr="0029013B">
        <w:rPr>
          <w:rFonts w:hint="eastAsia"/>
        </w:rPr>
        <w:t>±1℃；系统综合能效 COPsys 不应低于设计值的 90%。</w:t>
      </w:r>
    </w:p>
    <w:p w14:paraId="6E6A5741" w14:textId="46F5EF2D" w:rsidR="00F7740E" w:rsidRDefault="009312F0" w:rsidP="009312F0">
      <w:pPr>
        <w:pStyle w:val="afffffffff3"/>
        <w:rPr>
          <w:rFonts w:hint="eastAsia"/>
        </w:rPr>
      </w:pPr>
      <w:r w:rsidRPr="0029013B">
        <w:rPr>
          <w:rFonts w:hint="eastAsia"/>
        </w:rPr>
        <w:t>自控系统安装应符合 GB/T 50314 要求，传感器安装位置应避免阳光直射、振动、电磁干扰，温度传感器安装在管道内时应插入管道直径</w:t>
      </w:r>
      <w:r>
        <w:rPr>
          <w:rFonts w:hint="eastAsia"/>
        </w:rPr>
        <w:t>的 1/3~2/3 处，且与管道轴线垂直。执行器安装应牢固，动作灵活，与阀门连接可靠，自控系统调试应包括信号采集精度、控制逻辑验证、联动功能测试，确保控制准确、响应及时</w:t>
      </w:r>
      <w:r w:rsidR="00F7740E">
        <w:rPr>
          <w:rFonts w:hint="eastAsia"/>
        </w:rPr>
        <w:t>。</w:t>
      </w:r>
    </w:p>
    <w:p w14:paraId="00A257B2" w14:textId="4765DD70" w:rsidR="00F7740E" w:rsidRDefault="00F7740E" w:rsidP="00F7740E">
      <w:pPr>
        <w:pStyle w:val="affd"/>
        <w:spacing w:before="120" w:after="120"/>
        <w:rPr>
          <w:rFonts w:hint="eastAsia"/>
        </w:rPr>
      </w:pPr>
      <w:bookmarkStart w:id="70" w:name="_Toc212825794"/>
      <w:r>
        <w:rPr>
          <w:rFonts w:hint="eastAsia"/>
        </w:rPr>
        <w:t>运行与维护要求</w:t>
      </w:r>
      <w:bookmarkEnd w:id="70"/>
    </w:p>
    <w:p w14:paraId="6F0AFD89" w14:textId="77777777" w:rsidR="00F7740E" w:rsidRDefault="00F7740E" w:rsidP="00F7740E">
      <w:pPr>
        <w:pStyle w:val="afffffffff3"/>
        <w:rPr>
          <w:rFonts w:hint="eastAsia"/>
        </w:rPr>
      </w:pPr>
      <w:r>
        <w:rPr>
          <w:rFonts w:hint="eastAsia"/>
        </w:rPr>
        <w:t>空调系统运行时，夏季室内设计温度应控制在 26℃~28℃，冬季室内设计温度应控制在 18℃~22℃；相对湿度夏季应控制在 40%~60%，冬季应控制在 30%~50%。</w:t>
      </w:r>
    </w:p>
    <w:p w14:paraId="13AD619E" w14:textId="77777777" w:rsidR="00F7740E" w:rsidRDefault="00F7740E" w:rsidP="00F7740E">
      <w:pPr>
        <w:pStyle w:val="afffffffff3"/>
        <w:rPr>
          <w:rFonts w:hint="eastAsia"/>
        </w:rPr>
      </w:pPr>
      <w:r>
        <w:rPr>
          <w:rFonts w:hint="eastAsia"/>
        </w:rPr>
        <w:t>供暖系统供回水温度应根据室外温度动态调节，严寒地区室外温度 - 20℃时，供水温度不应超过 55℃，回水温度不应低于 40℃；寒冷地区室外温度 - 10℃时，供水温度不应超过 50℃，回水温度不应低于 35℃。</w:t>
      </w:r>
    </w:p>
    <w:p w14:paraId="7D86982D" w14:textId="77777777" w:rsidR="00F7740E" w:rsidRDefault="00F7740E" w:rsidP="00F7740E">
      <w:pPr>
        <w:pStyle w:val="afffffffff3"/>
        <w:rPr>
          <w:rFonts w:hint="eastAsia"/>
        </w:rPr>
      </w:pPr>
      <w:r>
        <w:rPr>
          <w:rFonts w:hint="eastAsia"/>
        </w:rPr>
        <w:t>节能运行策略应包括分时调控、分区调控、负荷响应调控。办公建筑工作日 8:00~18:00 按设计温度运行，其余时间夏季可提高至 30℃，冬季可降低至 15℃；无人区域应关闭末端设备。</w:t>
      </w:r>
    </w:p>
    <w:p w14:paraId="2F88F5E0" w14:textId="77777777" w:rsidR="00F7740E" w:rsidRDefault="00F7740E" w:rsidP="00F7740E">
      <w:pPr>
        <w:pStyle w:val="afffffffff3"/>
        <w:rPr>
          <w:rFonts w:hint="eastAsia"/>
        </w:rPr>
      </w:pPr>
      <w:r>
        <w:rPr>
          <w:rFonts w:hint="eastAsia"/>
        </w:rPr>
        <w:t>水泵、风机应采用变频调速运行，根据系统流量需求动态调节转速，变频范围应控制在 30 Hz~50 Hz 之间，运行时的噪声不应超过 60 dB（A）。</w:t>
      </w:r>
    </w:p>
    <w:p w14:paraId="344D7236" w14:textId="77777777" w:rsidR="00F7740E" w:rsidRDefault="00F7740E" w:rsidP="00F7740E">
      <w:pPr>
        <w:pStyle w:val="afffffffff3"/>
        <w:rPr>
          <w:rFonts w:hint="eastAsia"/>
        </w:rPr>
      </w:pPr>
      <w:r>
        <w:rPr>
          <w:rFonts w:hint="eastAsia"/>
        </w:rPr>
        <w:t>维护周期应符合以下规定：空气过滤器每月清洗 1 次，每 6 个月更换 1 次；水系统过滤器每 3 个月清洗 1 次；换热器每年清洗 1 次；保温层每 2 年检查 1 次，发现破损及时修补。</w:t>
      </w:r>
    </w:p>
    <w:p w14:paraId="1A23414F" w14:textId="77777777" w:rsidR="00F7740E" w:rsidRDefault="00F7740E" w:rsidP="00F7740E">
      <w:pPr>
        <w:pStyle w:val="afffffffff3"/>
        <w:rPr>
          <w:rFonts w:hint="eastAsia"/>
        </w:rPr>
      </w:pPr>
      <w:r>
        <w:rPr>
          <w:rFonts w:hint="eastAsia"/>
        </w:rPr>
        <w:t>能效检测应每年度进行 1 次，检测时间选择在负荷稳定的工况下，连续检测 24 小时，系统综合能效 COPsys 不应低于 3.0，若低于该值应及时查找原因并整改。</w:t>
      </w:r>
    </w:p>
    <w:p w14:paraId="558D364F" w14:textId="77777777" w:rsidR="00F7740E" w:rsidRDefault="00F7740E" w:rsidP="00F7740E">
      <w:pPr>
        <w:pStyle w:val="afffffffff3"/>
      </w:pPr>
      <w:r>
        <w:rPr>
          <w:rFonts w:hint="eastAsia"/>
        </w:rPr>
        <w:t>故障处理应建立快速响应机制，设备故障报警后应在</w:t>
      </w:r>
      <w:r>
        <w:t xml:space="preserve"> 2 </w:t>
      </w:r>
      <w:r>
        <w:rPr>
          <w:rFonts w:hint="eastAsia"/>
        </w:rPr>
        <w:t>小时内响应，</w:t>
      </w:r>
      <w:r>
        <w:t xml:space="preserve">24 </w:t>
      </w:r>
      <w:r>
        <w:rPr>
          <w:rFonts w:hint="eastAsia"/>
        </w:rPr>
        <w:t>小时内修复；系统泄漏故障应立即停机处理，泄漏量不得超过</w:t>
      </w:r>
      <w:r>
        <w:t xml:space="preserve"> 0.01 L/</w:t>
      </w:r>
      <w:r>
        <w:rPr>
          <w:rFonts w:hint="eastAsia"/>
        </w:rPr>
        <w:t>（</w:t>
      </w:r>
      <w:r>
        <w:t>m</w:t>
      </w:r>
      <w:r>
        <w:rPr>
          <w:rFonts w:ascii="微软雅黑" w:eastAsia="微软雅黑" w:hAnsi="微软雅黑" w:cs="微软雅黑" w:hint="eastAsia"/>
        </w:rPr>
        <w:t>・</w:t>
      </w:r>
      <w:r>
        <w:t>h</w:t>
      </w:r>
      <w:r>
        <w:rPr>
          <w:rFonts w:hint="eastAsia"/>
        </w:rPr>
        <w:t>）。</w:t>
      </w:r>
    </w:p>
    <w:p w14:paraId="256960E6" w14:textId="77777777" w:rsidR="00F7740E" w:rsidRDefault="00F7740E" w:rsidP="00F7740E">
      <w:pPr>
        <w:pStyle w:val="afffffffff3"/>
        <w:rPr>
          <w:rFonts w:hint="eastAsia"/>
        </w:rPr>
      </w:pPr>
      <w:r>
        <w:rPr>
          <w:rFonts w:hint="eastAsia"/>
        </w:rPr>
        <w:t>运行记录应包括每日的室内外温度、湿度、系统供回水温度、压力、流量、设备运行状态、能耗数据等，记录保存期限不应少于 3 年。</w:t>
      </w:r>
    </w:p>
    <w:p w14:paraId="56B7161E" w14:textId="29ECED8D" w:rsidR="00F7740E" w:rsidRDefault="00F7740E" w:rsidP="00F7740E">
      <w:pPr>
        <w:pStyle w:val="affc"/>
        <w:spacing w:before="240" w:after="240"/>
        <w:rPr>
          <w:rFonts w:hint="eastAsia"/>
        </w:rPr>
      </w:pPr>
      <w:bookmarkStart w:id="71" w:name="_Toc212825795"/>
      <w:r>
        <w:rPr>
          <w:rFonts w:hint="eastAsia"/>
        </w:rPr>
        <w:t>试验方法</w:t>
      </w:r>
      <w:bookmarkEnd w:id="71"/>
    </w:p>
    <w:p w14:paraId="48D87070" w14:textId="77777777" w:rsidR="00F7740E" w:rsidRDefault="00F7740E" w:rsidP="00F7740E">
      <w:pPr>
        <w:pStyle w:val="afffffffff0"/>
        <w:rPr>
          <w:rFonts w:hint="eastAsia"/>
        </w:rPr>
      </w:pPr>
      <w:r>
        <w:rPr>
          <w:rFonts w:hint="eastAsia"/>
        </w:rPr>
        <w:lastRenderedPageBreak/>
        <w:t xml:space="preserve">设备能效测试应在符合 </w:t>
      </w:r>
      <w:r w:rsidRPr="0029013B">
        <w:rPr>
          <w:rFonts w:hint="eastAsia"/>
        </w:rPr>
        <w:t>GB/T 18430.1</w:t>
      </w:r>
      <w:bookmarkStart w:id="72" w:name="OLE_LINK1"/>
      <w:r w:rsidRPr="0029013B">
        <w:rPr>
          <w:rFonts w:hint="eastAsia"/>
        </w:rPr>
        <w:t>、GB/T 25127.1</w:t>
      </w:r>
      <w:bookmarkEnd w:id="72"/>
      <w:r>
        <w:rPr>
          <w:rFonts w:hint="eastAsia"/>
        </w:rPr>
        <w:t xml:space="preserve"> 等标准要求的实验室进行，测试环境温度、湿度应控制在设计工况范围内，温度偏差 ±0.5℃，湿度偏差 ±5%。</w:t>
      </w:r>
    </w:p>
    <w:p w14:paraId="325E55F9" w14:textId="77777777" w:rsidR="00F7740E" w:rsidRDefault="00F7740E" w:rsidP="00F7740E">
      <w:pPr>
        <w:pStyle w:val="afffffffff0"/>
        <w:rPr>
          <w:rFonts w:hint="eastAsia"/>
        </w:rPr>
      </w:pPr>
      <w:r>
        <w:rPr>
          <w:rFonts w:hint="eastAsia"/>
        </w:rPr>
        <w:t>冷水机组能效测试应测量额定工况下的输入功率、输出冷量，计算 COP 值。测试仪器精度要求：电功率表精度不低于 0.5 级，流量计精度不低于 1.0 级，温度计精度不低于 0.1℃。</w:t>
      </w:r>
    </w:p>
    <w:p w14:paraId="681510C4" w14:textId="77777777" w:rsidR="00F7740E" w:rsidRDefault="00F7740E" w:rsidP="00F7740E">
      <w:pPr>
        <w:pStyle w:val="afffffffff0"/>
        <w:rPr>
          <w:rFonts w:hint="eastAsia"/>
        </w:rPr>
      </w:pPr>
      <w:r>
        <w:rPr>
          <w:rFonts w:hint="eastAsia"/>
        </w:rPr>
        <w:t>系统综合能效测试应在现场进行，测试期间系统应处于稳定运行状态，连续采集 24 小时数据，每 15 分钟记录 1 次主机输入功率、水泵风机输入功率、输出冷量或热量。</w:t>
      </w:r>
    </w:p>
    <w:p w14:paraId="0B310AD8" w14:textId="77777777" w:rsidR="00F7740E" w:rsidRDefault="00F7740E" w:rsidP="00F7740E">
      <w:pPr>
        <w:pStyle w:val="afffffffff0"/>
      </w:pPr>
      <w:r>
        <w:rPr>
          <w:rFonts w:hint="eastAsia"/>
        </w:rPr>
        <w:t>输出冷量或热量通过测量供回水温度、流量计算得出，计算公式为</w:t>
      </w:r>
      <w:r>
        <w:t xml:space="preserve"> Q=cm</w:t>
      </w:r>
      <w:r>
        <w:t>Δ</w:t>
      </w:r>
      <w:r>
        <w:t>t</w:t>
      </w:r>
      <w:r>
        <w:rPr>
          <w:rFonts w:hint="eastAsia"/>
        </w:rPr>
        <w:t>，其中</w:t>
      </w:r>
      <w:r>
        <w:t xml:space="preserve"> c </w:t>
      </w:r>
      <w:r>
        <w:rPr>
          <w:rFonts w:hint="eastAsia"/>
        </w:rPr>
        <w:t>为水的比热容，取</w:t>
      </w:r>
      <w:r>
        <w:t xml:space="preserve"> 4.186 kJ/</w:t>
      </w:r>
      <w:r>
        <w:rPr>
          <w:rFonts w:hint="eastAsia"/>
        </w:rPr>
        <w:t>（</w:t>
      </w:r>
      <w:r>
        <w:t>kg</w:t>
      </w:r>
      <w:r>
        <w:rPr>
          <w:rFonts w:ascii="微软雅黑" w:eastAsia="微软雅黑" w:hAnsi="微软雅黑" w:cs="微软雅黑" w:hint="eastAsia"/>
        </w:rPr>
        <w:t>・</w:t>
      </w:r>
      <w:r>
        <w:rPr>
          <w:rFonts w:hAnsi="宋体" w:cs="宋体" w:hint="eastAsia"/>
        </w:rPr>
        <w:t>℃），</w:t>
      </w:r>
      <w:r>
        <w:t xml:space="preserve">m </w:t>
      </w:r>
      <w:r>
        <w:rPr>
          <w:rFonts w:hint="eastAsia"/>
        </w:rPr>
        <w:t>为质量流量，Δ</w:t>
      </w:r>
      <w:r>
        <w:t xml:space="preserve">t </w:t>
      </w:r>
      <w:r>
        <w:rPr>
          <w:rFonts w:hint="eastAsia"/>
        </w:rPr>
        <w:t>为供回水温差。</w:t>
      </w:r>
    </w:p>
    <w:p w14:paraId="7379B990" w14:textId="77777777" w:rsidR="00F7740E" w:rsidRDefault="00F7740E" w:rsidP="00F7740E">
      <w:pPr>
        <w:pStyle w:val="afffffffff0"/>
        <w:rPr>
          <w:rFonts w:hint="eastAsia"/>
        </w:rPr>
      </w:pPr>
      <w:r>
        <w:rPr>
          <w:rFonts w:hint="eastAsia"/>
        </w:rPr>
        <w:t xml:space="preserve">管路气密性测试：风管采用漏光法和漏风量测试，漏光法检测时无明显漏光现象；漏风量测试按 </w:t>
      </w:r>
      <w:r w:rsidRPr="0029013B">
        <w:rPr>
          <w:rFonts w:hint="eastAsia"/>
        </w:rPr>
        <w:t>GB 50243</w:t>
      </w:r>
      <w:r>
        <w:rPr>
          <w:rFonts w:hint="eastAsia"/>
        </w:rPr>
        <w:t xml:space="preserve"> 要求，采用静压法，测试压力为设计工作压力的 1.5 倍。</w:t>
      </w:r>
    </w:p>
    <w:p w14:paraId="1FD0B2E4" w14:textId="77777777" w:rsidR="00F7740E" w:rsidRDefault="00F7740E" w:rsidP="00F7740E">
      <w:pPr>
        <w:pStyle w:val="afffffffff0"/>
      </w:pPr>
      <w:r>
        <w:rPr>
          <w:rFonts w:hint="eastAsia"/>
        </w:rPr>
        <w:t>水管漏水量测试：管道充满水并升至试验压力，保持</w:t>
      </w:r>
      <w:r>
        <w:t xml:space="preserve"> 30 </w:t>
      </w:r>
      <w:r>
        <w:rPr>
          <w:rFonts w:hint="eastAsia"/>
        </w:rPr>
        <w:t>分钟，采用称重法测量漏水量，漏水量应小于</w:t>
      </w:r>
      <w:r>
        <w:t xml:space="preserve"> 0.01 L/</w:t>
      </w:r>
      <w:r>
        <w:rPr>
          <w:rFonts w:hint="eastAsia"/>
        </w:rPr>
        <w:t>（</w:t>
      </w:r>
      <w:r>
        <w:t>m</w:t>
      </w:r>
      <w:r>
        <w:rPr>
          <w:rFonts w:ascii="微软雅黑" w:eastAsia="微软雅黑" w:hAnsi="微软雅黑" w:cs="微软雅黑" w:hint="eastAsia"/>
        </w:rPr>
        <w:t>・</w:t>
      </w:r>
      <w:r>
        <w:t>h</w:t>
      </w:r>
      <w:r>
        <w:rPr>
          <w:rFonts w:hint="eastAsia"/>
        </w:rPr>
        <w:t>）。</w:t>
      </w:r>
    </w:p>
    <w:p w14:paraId="246B85C2" w14:textId="77777777" w:rsidR="00F7740E" w:rsidRDefault="00F7740E" w:rsidP="00F7740E">
      <w:pPr>
        <w:pStyle w:val="afffffffff0"/>
      </w:pPr>
      <w:r>
        <w:rPr>
          <w:rFonts w:hint="eastAsia"/>
        </w:rPr>
        <w:t>保温性能测试采用热流计法，测试环境温度为</w:t>
      </w:r>
      <w:r>
        <w:t xml:space="preserve"> 25</w:t>
      </w:r>
      <w:r>
        <w:rPr>
          <w:rFonts w:hint="eastAsia"/>
        </w:rPr>
        <w:t>℃±</w:t>
      </w:r>
      <w:r>
        <w:t>2</w:t>
      </w:r>
      <w:r>
        <w:rPr>
          <w:rFonts w:hint="eastAsia"/>
        </w:rPr>
        <w:t>℃，管道内介质温度为</w:t>
      </w:r>
      <w:r>
        <w:t xml:space="preserve"> 70</w:t>
      </w:r>
      <w:r>
        <w:rPr>
          <w:rFonts w:hint="eastAsia"/>
        </w:rPr>
        <w:t>℃±</w:t>
      </w:r>
      <w:r>
        <w:t>2</w:t>
      </w:r>
      <w:r>
        <w:rPr>
          <w:rFonts w:hint="eastAsia"/>
        </w:rPr>
        <w:t>℃，测量保温层的热流密度，计算导热系数，导热系数</w:t>
      </w:r>
      <w:r>
        <w:t xml:space="preserve"> </w:t>
      </w:r>
      <w:r>
        <w:t>λ</w:t>
      </w:r>
      <w:r>
        <w:t>25</w:t>
      </w:r>
      <w:r>
        <w:rPr>
          <w:rFonts w:hint="eastAsia"/>
        </w:rPr>
        <w:t>℃应≤</w:t>
      </w:r>
      <w:r>
        <w:t>0.032 W/</w:t>
      </w:r>
      <w:r>
        <w:rPr>
          <w:rFonts w:hint="eastAsia"/>
        </w:rPr>
        <w:t>（</w:t>
      </w:r>
      <w:r>
        <w:t>m</w:t>
      </w:r>
      <w:r>
        <w:rPr>
          <w:rFonts w:ascii="微软雅黑" w:eastAsia="微软雅黑" w:hAnsi="微软雅黑" w:cs="微软雅黑" w:hint="eastAsia"/>
        </w:rPr>
        <w:t>・</w:t>
      </w:r>
      <w:r>
        <w:t>K</w:t>
      </w:r>
      <w:r>
        <w:rPr>
          <w:rFonts w:hint="eastAsia"/>
        </w:rPr>
        <w:t>）。</w:t>
      </w:r>
    </w:p>
    <w:p w14:paraId="4BF72E68" w14:textId="77777777" w:rsidR="00F7740E" w:rsidRDefault="00F7740E" w:rsidP="00F7740E">
      <w:pPr>
        <w:pStyle w:val="afffffffff0"/>
        <w:rPr>
          <w:rFonts w:hint="eastAsia"/>
        </w:rPr>
      </w:pPr>
      <w:r>
        <w:rPr>
          <w:rFonts w:hint="eastAsia"/>
        </w:rPr>
        <w:t>自控系统功能测试应模拟室内外参数变化，检测系统负荷跟踪响应时间，响应时间不应超过 3 分钟；温度调节精度测试应在稳定工况下连续测量 1 小时，每 5 分钟记录 1 次，调节精度应达到 ±0.5℃。</w:t>
      </w:r>
    </w:p>
    <w:p w14:paraId="64BC17D5" w14:textId="77777777" w:rsidR="00F7740E" w:rsidRDefault="00F7740E" w:rsidP="00F7740E">
      <w:pPr>
        <w:pStyle w:val="afffffffff0"/>
        <w:rPr>
          <w:rFonts w:hint="eastAsia"/>
        </w:rPr>
      </w:pPr>
      <w:r>
        <w:rPr>
          <w:rFonts w:hint="eastAsia"/>
        </w:rPr>
        <w:t>噪声测试应在设备运行稳定后进行，测试点距离设备 1.0 m，高度 1.5 m，采用声级计测量 A 计权声压级，测试精度不低于 1 级，测试结果应符合运行维护要求中的噪声限值。</w:t>
      </w:r>
    </w:p>
    <w:p w14:paraId="1EEB2E3B" w14:textId="0162083A" w:rsidR="00F7740E" w:rsidRDefault="00F7740E" w:rsidP="00F7740E">
      <w:pPr>
        <w:pStyle w:val="affc"/>
        <w:spacing w:before="240" w:after="240"/>
        <w:rPr>
          <w:rFonts w:hint="eastAsia"/>
        </w:rPr>
      </w:pPr>
      <w:bookmarkStart w:id="73" w:name="_Toc212825796"/>
      <w:r>
        <w:rPr>
          <w:rFonts w:hint="eastAsia"/>
        </w:rPr>
        <w:t>检验规则</w:t>
      </w:r>
      <w:bookmarkEnd w:id="73"/>
    </w:p>
    <w:p w14:paraId="3F595DD5" w14:textId="28E24FEB" w:rsidR="00F7740E" w:rsidRDefault="00F7740E" w:rsidP="00F7740E">
      <w:pPr>
        <w:pStyle w:val="affd"/>
        <w:spacing w:before="120" w:after="120"/>
        <w:rPr>
          <w:rFonts w:hint="eastAsia"/>
        </w:rPr>
      </w:pPr>
      <w:bookmarkStart w:id="74" w:name="_Toc212825797"/>
      <w:r>
        <w:rPr>
          <w:rFonts w:hint="eastAsia"/>
        </w:rPr>
        <w:t>检验分类</w:t>
      </w:r>
      <w:bookmarkEnd w:id="74"/>
    </w:p>
    <w:p w14:paraId="62718A65" w14:textId="77777777" w:rsidR="00F7740E" w:rsidRDefault="00F7740E" w:rsidP="00F7740E">
      <w:pPr>
        <w:pStyle w:val="afffffffff3"/>
        <w:rPr>
          <w:rFonts w:hint="eastAsia"/>
        </w:rPr>
      </w:pPr>
      <w:r>
        <w:rPr>
          <w:rFonts w:hint="eastAsia"/>
        </w:rPr>
        <w:t>出厂检验为每台设备必检项目，检验项目包括外观质量、密封性、电气性能、额定功率、制冷量或制热量，检验合格后方可出厂并附带合格证。</w:t>
      </w:r>
    </w:p>
    <w:p w14:paraId="38D7329D" w14:textId="77777777" w:rsidR="00F7740E" w:rsidRDefault="00F7740E" w:rsidP="00F7740E">
      <w:pPr>
        <w:pStyle w:val="afffffffff3"/>
        <w:rPr>
          <w:rFonts w:hint="eastAsia"/>
        </w:rPr>
      </w:pPr>
      <w:r>
        <w:rPr>
          <w:rFonts w:hint="eastAsia"/>
        </w:rPr>
        <w:t>型式检验应在以下情况进行：新产品定型时；产品结构、材料、工艺有重大改变时；正常生产每 2 年进行 1 次；产品停产后恢复生产时；国家质量监督部门提出型式检验要求时。</w:t>
      </w:r>
    </w:p>
    <w:p w14:paraId="32BD766B" w14:textId="77777777" w:rsidR="00F7740E" w:rsidRDefault="00F7740E" w:rsidP="00F7740E">
      <w:pPr>
        <w:pStyle w:val="afffffffff3"/>
        <w:rPr>
          <w:rFonts w:hint="eastAsia"/>
        </w:rPr>
      </w:pPr>
      <w:r>
        <w:rPr>
          <w:rFonts w:hint="eastAsia"/>
        </w:rPr>
        <w:t>型式检验项目包括本标准 4.2 设备要求的全部指标及 5.1~5.3 规定的试验项目，抽样比例为每批次产品的 3%，且不少于 3 台。</w:t>
      </w:r>
    </w:p>
    <w:p w14:paraId="2974C85B" w14:textId="77777777" w:rsidR="00F7740E" w:rsidRDefault="00F7740E" w:rsidP="00F7740E">
      <w:pPr>
        <w:pStyle w:val="afffffffff3"/>
        <w:rPr>
          <w:rFonts w:hint="eastAsia"/>
        </w:rPr>
      </w:pPr>
      <w:r>
        <w:rPr>
          <w:rFonts w:hint="eastAsia"/>
        </w:rPr>
        <w:t>现场检验分为施工过程检验和竣工验收检验。施工过程检验包括管道安装质量、保温施工质量、设备安装位置等，每道工序完成后进行；竣工验收检验包括系统气密性、水力平衡、系统综合能效等，系统调试完成后进行。</w:t>
      </w:r>
    </w:p>
    <w:p w14:paraId="00370A9A" w14:textId="77777777" w:rsidR="00F7740E" w:rsidRDefault="00F7740E" w:rsidP="00F7740E">
      <w:pPr>
        <w:pStyle w:val="afffffffff3"/>
        <w:rPr>
          <w:rFonts w:hint="eastAsia"/>
        </w:rPr>
      </w:pPr>
      <w:r>
        <w:rPr>
          <w:rFonts w:hint="eastAsia"/>
        </w:rPr>
        <w:t>现场检验抽样比例：管道安装质量按总长度的 10% 抽样检查；设备安装质量逐台检查；系统综合能效连续检测 24 小时。</w:t>
      </w:r>
    </w:p>
    <w:p w14:paraId="5A9E6A9E" w14:textId="0D20C2B7" w:rsidR="00F7740E" w:rsidRDefault="00F7740E" w:rsidP="00F7740E">
      <w:pPr>
        <w:pStyle w:val="affd"/>
        <w:spacing w:before="120" w:after="120"/>
        <w:rPr>
          <w:rFonts w:hint="eastAsia"/>
        </w:rPr>
      </w:pPr>
      <w:bookmarkStart w:id="75" w:name="_Toc212825798"/>
      <w:r>
        <w:rPr>
          <w:rFonts w:hint="eastAsia"/>
        </w:rPr>
        <w:t>判定规则</w:t>
      </w:r>
      <w:bookmarkEnd w:id="75"/>
    </w:p>
    <w:p w14:paraId="0A6D23D8" w14:textId="77777777" w:rsidR="00F7740E" w:rsidRDefault="00F7740E" w:rsidP="00F7740E">
      <w:pPr>
        <w:pStyle w:val="afffffffff3"/>
        <w:rPr>
          <w:rFonts w:hint="eastAsia"/>
        </w:rPr>
      </w:pPr>
      <w:r>
        <w:rPr>
          <w:rFonts w:hint="eastAsia"/>
        </w:rPr>
        <w:t>单项检验项目合格标准：外观质量无破损、锈蚀；密封性无泄漏；电气性能符合产品标准；额定功率偏差≤±5%；制冷量或制热量偏差≤±5%；系统综合能效 COPsys≥3.0。</w:t>
      </w:r>
    </w:p>
    <w:p w14:paraId="1804BB4F" w14:textId="77777777" w:rsidR="00F7740E" w:rsidRDefault="00F7740E" w:rsidP="00F7740E">
      <w:pPr>
        <w:pStyle w:val="afffffffff3"/>
        <w:rPr>
          <w:rFonts w:hint="eastAsia"/>
        </w:rPr>
      </w:pPr>
      <w:r>
        <w:rPr>
          <w:rFonts w:hint="eastAsia"/>
        </w:rPr>
        <w:t>出厂检验中，单项检验项目不合格时，允许返修后重新检验，若仍不合格则判定该产品不合格；批量生产时，不合格品率超过 5% 则判定该批次产品不合格。</w:t>
      </w:r>
    </w:p>
    <w:p w14:paraId="08929520" w14:textId="77777777" w:rsidR="00F7740E" w:rsidRDefault="00F7740E" w:rsidP="00F7740E">
      <w:pPr>
        <w:pStyle w:val="afffffffff3"/>
        <w:rPr>
          <w:rFonts w:hint="eastAsia"/>
        </w:rPr>
      </w:pPr>
      <w:r>
        <w:rPr>
          <w:rFonts w:hint="eastAsia"/>
        </w:rPr>
        <w:t>型式检验中，所有检验项目均合格则判定该产品型式检验合格；若有 1 项非关键项目不合格，允许整改后重新检验，重新检验合格则判定合格；若有关键项目不合格或 2 项及以上非关键项目不合格，则判定不合格。</w:t>
      </w:r>
    </w:p>
    <w:p w14:paraId="7A6FB4C7" w14:textId="77777777" w:rsidR="00F7740E" w:rsidRDefault="00F7740E" w:rsidP="00F7740E">
      <w:pPr>
        <w:pStyle w:val="afffffffff3"/>
        <w:rPr>
          <w:rFonts w:hint="eastAsia"/>
        </w:rPr>
      </w:pPr>
      <w:r>
        <w:rPr>
          <w:rFonts w:hint="eastAsia"/>
        </w:rPr>
        <w:t>现场施工过程检验中，单项项目不合格时，应整改后重新检验，直至合格后方可进行下道工序；竣工验收检验中，系统气密性、水力平衡、系统综合能效等关键项目均合格，其他项目不合格项不超过 2 项且整改后合格，则判定竣工验收合格。</w:t>
      </w:r>
    </w:p>
    <w:p w14:paraId="2A77336D" w14:textId="77777777" w:rsidR="00F7740E" w:rsidRDefault="00F7740E" w:rsidP="00F7740E">
      <w:pPr>
        <w:pStyle w:val="afffffffff3"/>
        <w:rPr>
          <w:rFonts w:hint="eastAsia"/>
        </w:rPr>
      </w:pPr>
      <w:r>
        <w:rPr>
          <w:rFonts w:hint="eastAsia"/>
        </w:rPr>
        <w:t>复检规则：不合格项目整改完成后，应重新进行检验，复检抽样比例为原抽样比例的 2 倍；若复检仍不合格，则判定该项目不合格，需全面整改后再次检验。</w:t>
      </w:r>
    </w:p>
    <w:p w14:paraId="39FC9D43" w14:textId="3CDAAB61" w:rsidR="00F7740E" w:rsidRDefault="00F7740E" w:rsidP="00F7740E">
      <w:pPr>
        <w:pStyle w:val="affc"/>
        <w:spacing w:before="240" w:after="240"/>
        <w:rPr>
          <w:rFonts w:hint="eastAsia"/>
        </w:rPr>
      </w:pPr>
      <w:bookmarkStart w:id="76" w:name="_Toc212825799"/>
      <w:r>
        <w:rPr>
          <w:rFonts w:hint="eastAsia"/>
        </w:rPr>
        <w:lastRenderedPageBreak/>
        <w:t>标志、包装、运输和贮存</w:t>
      </w:r>
      <w:bookmarkEnd w:id="76"/>
    </w:p>
    <w:p w14:paraId="2B29E3D0" w14:textId="77777777" w:rsidR="00F7740E" w:rsidRDefault="00F7740E" w:rsidP="00F7740E">
      <w:pPr>
        <w:pStyle w:val="afffffffff3"/>
        <w:rPr>
          <w:rFonts w:hint="eastAsia"/>
        </w:rPr>
      </w:pPr>
      <w:r>
        <w:rPr>
          <w:rFonts w:hint="eastAsia"/>
        </w:rPr>
        <w:t>设备及系统组件应在明显位置设置永久性标志，标志内容包括产品名称、型号规格、额定参数、能效等级、生产厂家名称及地址、生产日期、产品编号、执行标准号。</w:t>
      </w:r>
    </w:p>
    <w:p w14:paraId="01157F8D" w14:textId="77777777" w:rsidR="00F7740E" w:rsidRDefault="00F7740E" w:rsidP="00F7740E">
      <w:pPr>
        <w:pStyle w:val="afffffffff3"/>
        <w:rPr>
          <w:rFonts w:hint="eastAsia"/>
        </w:rPr>
      </w:pPr>
      <w:r>
        <w:rPr>
          <w:rFonts w:hint="eastAsia"/>
        </w:rPr>
        <w:t>能效标志应符合国家相关规定，明确标注能效等级、COP 值、IPLV 值等关键能效指标，粘贴位置应便于观察。</w:t>
      </w:r>
    </w:p>
    <w:p w14:paraId="30CB07A9" w14:textId="77777777" w:rsidR="00F7740E" w:rsidRDefault="00F7740E" w:rsidP="00F7740E">
      <w:pPr>
        <w:pStyle w:val="afffffffff3"/>
        <w:rPr>
          <w:rFonts w:hint="eastAsia"/>
        </w:rPr>
      </w:pPr>
      <w:r>
        <w:rPr>
          <w:rFonts w:hint="eastAsia"/>
        </w:rPr>
        <w:t>包装应采用防潮、防震、防碰撞的包装材料，设备包装内应填充缓冲材料，防止运输过程中损坏。大型设备应采用整体包装或分段包装，包装强度应能承受运输过程中的冲击和振动。</w:t>
      </w:r>
    </w:p>
    <w:p w14:paraId="77F1A427" w14:textId="77777777" w:rsidR="00F7740E" w:rsidRDefault="00F7740E" w:rsidP="00F7740E">
      <w:pPr>
        <w:pStyle w:val="afffffffff3"/>
        <w:rPr>
          <w:rFonts w:hint="eastAsia"/>
        </w:rPr>
      </w:pPr>
      <w:r>
        <w:rPr>
          <w:rFonts w:hint="eastAsia"/>
        </w:rPr>
        <w:t>包装内随附技术文件，包括产品说明书、合格证、检验报告、安装图纸、配件清单等，技术文件应采用防水包装并固定在包装内。</w:t>
      </w:r>
    </w:p>
    <w:p w14:paraId="0C3355A2" w14:textId="77777777" w:rsidR="00F7740E" w:rsidRDefault="00F7740E" w:rsidP="00F7740E">
      <w:pPr>
        <w:pStyle w:val="afffffffff3"/>
        <w:rPr>
          <w:rFonts w:hint="eastAsia"/>
        </w:rPr>
      </w:pPr>
      <w:r>
        <w:rPr>
          <w:rFonts w:hint="eastAsia"/>
        </w:rPr>
        <w:t>运输过程中应避免剧烈碰撞、雨淋、暴晒，运输环境温度应控制在 - 20℃~50℃之间，相对湿度≤85%。大型设备运输应采用专用运输工具，固定牢固，防止倾斜、倒塌。</w:t>
      </w:r>
    </w:p>
    <w:p w14:paraId="2868E179" w14:textId="77777777" w:rsidR="00F7740E" w:rsidRDefault="00F7740E" w:rsidP="00F7740E">
      <w:pPr>
        <w:pStyle w:val="afffffffff3"/>
        <w:rPr>
          <w:rFonts w:hint="eastAsia"/>
        </w:rPr>
      </w:pPr>
      <w:r>
        <w:rPr>
          <w:rFonts w:hint="eastAsia"/>
        </w:rPr>
        <w:t>贮存环境应通风、干燥、清洁，无腐蚀性气体，贮存温度控制在 - 10℃~40℃之间，相对湿度≤80%。设备应放置在平整的地面上，堆放高度不应超过 3 层，底层设备应垫离地面 10 cm 以上。</w:t>
      </w:r>
    </w:p>
    <w:p w14:paraId="5A9EAC95" w14:textId="77777777" w:rsidR="00F7740E" w:rsidRDefault="00F7740E" w:rsidP="00F7740E">
      <w:pPr>
        <w:pStyle w:val="afffffffff3"/>
        <w:rPr>
          <w:rFonts w:hint="eastAsia"/>
        </w:rPr>
      </w:pPr>
      <w:r>
        <w:rPr>
          <w:rFonts w:hint="eastAsia"/>
        </w:rPr>
        <w:t>设备贮存期限不应超过 12 个月，超过贮存期限的设备，使用前应进行全面检验，包括外观检查、密封性测试、电气性能测试等，检验合格后方可使用。</w:t>
      </w:r>
    </w:p>
    <w:p w14:paraId="2A26F1C0" w14:textId="144FB0DD" w:rsidR="0020792A" w:rsidRDefault="00F7740E" w:rsidP="00F7740E">
      <w:pPr>
        <w:pStyle w:val="afffffffff3"/>
      </w:pPr>
      <w:r>
        <w:rPr>
          <w:rFonts w:hint="eastAsia"/>
        </w:rPr>
        <w:t>配件及易损件应单独包装，注明名称、规格、数量，与主体设备一同运输和贮存，防止丢失或损坏。</w:t>
      </w:r>
    </w:p>
    <w:p w14:paraId="2B58521B" w14:textId="0C3E8E5F" w:rsidR="003F5FF8" w:rsidRDefault="00D324C1" w:rsidP="00D324C1">
      <w:pPr>
        <w:pStyle w:val="afffff7"/>
        <w:ind w:firstLineChars="0" w:firstLine="0"/>
        <w:jc w:val="center"/>
      </w:pPr>
      <w:bookmarkStart w:id="77" w:name="BookMark8"/>
      <w:bookmarkEnd w:id="9"/>
      <w:bookmarkEnd w:id="64"/>
      <w:bookmarkEnd w:id="65"/>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7E0C" w14:textId="77777777" w:rsidR="00D60422" w:rsidRDefault="00D60422">
      <w:pPr>
        <w:spacing w:line="240" w:lineRule="auto"/>
      </w:pPr>
      <w:r>
        <w:separator/>
      </w:r>
    </w:p>
  </w:endnote>
  <w:endnote w:type="continuationSeparator" w:id="0">
    <w:p w14:paraId="21A0244A" w14:textId="77777777" w:rsidR="00D60422" w:rsidRDefault="00D60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B8AA" w14:textId="77777777" w:rsidR="00D60422" w:rsidRDefault="00D60422">
      <w:pPr>
        <w:spacing w:line="240" w:lineRule="auto"/>
      </w:pPr>
      <w:r>
        <w:separator/>
      </w:r>
    </w:p>
  </w:footnote>
  <w:footnote w:type="continuationSeparator" w:id="0">
    <w:p w14:paraId="75155F58" w14:textId="77777777" w:rsidR="00D60422" w:rsidRDefault="00D60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D7021"/>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013B"/>
    <w:rsid w:val="00292D60"/>
    <w:rsid w:val="00293B30"/>
    <w:rsid w:val="00294D34"/>
    <w:rsid w:val="00294E3B"/>
    <w:rsid w:val="00296193"/>
    <w:rsid w:val="00296C66"/>
    <w:rsid w:val="00296EBE"/>
    <w:rsid w:val="002974E3"/>
    <w:rsid w:val="002A084B"/>
    <w:rsid w:val="002A1260"/>
    <w:rsid w:val="002A1589"/>
    <w:rsid w:val="002A1608"/>
    <w:rsid w:val="002A1945"/>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568"/>
    <w:rsid w:val="00317261"/>
    <w:rsid w:val="00317988"/>
    <w:rsid w:val="0032122E"/>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378A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092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0B88"/>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3ACF"/>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4DAE"/>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12F0"/>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2AB6"/>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0C97"/>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209D"/>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0422"/>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6A2"/>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7740E"/>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1528</TotalTime>
  <Pages>9</Pages>
  <Words>4591</Words>
  <Characters>5878</Characters>
  <Application>Microsoft Office Word</Application>
  <DocSecurity>0</DocSecurity>
  <Lines>255</Lines>
  <Paragraphs>307</Paragraphs>
  <ScaleCrop>false</ScaleCrop>
  <Company>PCMI</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430</cp:revision>
  <cp:lastPrinted>2025-01-06T08:01:00Z</cp:lastPrinted>
  <dcterms:created xsi:type="dcterms:W3CDTF">2023-08-16T03:16:00Z</dcterms:created>
  <dcterms:modified xsi:type="dcterms:W3CDTF">2025-10-31T09:56:00Z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