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72B6DCE7"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3D1991" w:rsidRPr="003D1991">
        <w:rPr>
          <w:rFonts w:ascii="仿宋" w:eastAsia="仿宋" w:hAnsi="仿宋" w:cs="仿宋" w:hint="eastAsia"/>
          <w:b/>
          <w:bCs/>
          <w:sz w:val="32"/>
          <w:szCs w:val="32"/>
        </w:rPr>
        <w:t>园林绿化工程数字化养护技术规范</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0064E9DF"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3D1991" w:rsidRPr="003D1991">
        <w:rPr>
          <w:rFonts w:ascii="仿宋" w:eastAsia="仿宋" w:hAnsi="仿宋" w:cs="仿宋" w:hint="eastAsia"/>
          <w:szCs w:val="21"/>
        </w:rPr>
        <w:t>园林绿化工程数字化养护技术规范</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3EB4AFA0" w:rsidR="00AC4878" w:rsidRDefault="00F81E44">
      <w:pPr>
        <w:pStyle w:val="affc"/>
        <w:widowControl/>
        <w:spacing w:beforeAutospacing="0" w:afterAutospacing="0"/>
        <w:ind w:firstLineChars="200" w:firstLine="420"/>
        <w:jc w:val="both"/>
        <w:rPr>
          <w:rFonts w:ascii="仿宋" w:eastAsia="仿宋" w:hAnsi="仿宋" w:cs="仿宋" w:hint="eastAsia"/>
          <w:sz w:val="21"/>
          <w:szCs w:val="21"/>
        </w:rPr>
      </w:pPr>
      <w:r w:rsidRPr="00F81E44">
        <w:rPr>
          <w:rFonts w:ascii="仿宋" w:eastAsia="仿宋" w:hAnsi="仿宋" w:cs="仿宋" w:hint="eastAsia"/>
          <w:sz w:val="21"/>
          <w:szCs w:val="21"/>
        </w:rPr>
        <w:t>本标准编写的核心目的是规范园林绿化工程数字化养护的技术路径、操作流程与质量要求，明确数据采集、监测系统、智能作业、平台建设等关键环节的统一标准，为行业提供可落地、可追溯的数字化养护实施指南。通过标准化手段整合物联网、大数据、人工智能等技术在养护场景的应用，解决当前数字化养护技术选型混乱、操作不规范、效果评估无依据等问题，推动园林绿化养护从传统经验型向现代精准型、智能型转变，确保数字化养护工作科学有序开展。</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10F8A553" w:rsidR="00AC4878" w:rsidRDefault="00F81E44">
      <w:pPr>
        <w:pStyle w:val="affc"/>
        <w:widowControl/>
        <w:spacing w:beforeAutospacing="0" w:afterAutospacing="0"/>
        <w:ind w:firstLineChars="200" w:firstLine="420"/>
        <w:jc w:val="both"/>
        <w:rPr>
          <w:rFonts w:ascii="仿宋" w:eastAsia="仿宋" w:hAnsi="仿宋" w:cs="仿宋" w:hint="eastAsia"/>
          <w:sz w:val="21"/>
          <w:szCs w:val="21"/>
        </w:rPr>
      </w:pPr>
      <w:r w:rsidRPr="00F81E44">
        <w:rPr>
          <w:rFonts w:ascii="仿宋" w:eastAsia="仿宋" w:hAnsi="仿宋" w:cs="仿宋" w:hint="eastAsia"/>
          <w:sz w:val="21"/>
          <w:szCs w:val="21"/>
        </w:rPr>
        <w:t>本标准的制定具有重要行业实践意义与生态价值。在行业层面，其能够统一数字化养护技术语言与评价体系，降低技术应用门槛，促进不同区域、不同类型绿地养护数据的互联互通与共享复用，推动行业技术升级与高质量发展。在生态层面，标准化的数字化养护可实现水资源、肥料、药剂的精准投放，减少资源浪费与环境影响，提升绿地生态功能与景观效果。在管理层面，通过规范数据采集与分析流程，为园林绿化管理提供精准决策支撑，提高养护效率与管理水平，助力城市生态宜居建设</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5AFEF636" w:rsidR="00366ACC" w:rsidRDefault="00F81E44" w:rsidP="00366ACC">
      <w:pPr>
        <w:pStyle w:val="affc"/>
        <w:widowControl/>
        <w:spacing w:beforeAutospacing="0" w:afterAutospacing="0"/>
        <w:ind w:firstLineChars="200" w:firstLine="420"/>
        <w:jc w:val="both"/>
        <w:rPr>
          <w:rFonts w:ascii="仿宋" w:eastAsia="仿宋" w:hAnsi="仿宋" w:cs="仿宋" w:hint="eastAsia"/>
          <w:sz w:val="21"/>
          <w:szCs w:val="21"/>
        </w:rPr>
      </w:pPr>
      <w:r w:rsidRPr="00F81E44">
        <w:rPr>
          <w:rFonts w:ascii="仿宋" w:eastAsia="仿宋" w:hAnsi="仿宋" w:cs="仿宋" w:hint="eastAsia"/>
          <w:sz w:val="21"/>
          <w:szCs w:val="21"/>
        </w:rPr>
        <w:t>当前园林绿化行业数字化转型进程中，缺乏统一的技术规范成为突出瓶颈。不同地区、单位采用的数字化设备接口不兼容、数据格式不统一、养护流程差异大，导致技术应用碎片化、资源浪费严重，难以形成规模化效益；同时，数字化养护技术的适用条件、操作要求、效果评价等缺乏明确标准，易出现技术与实际需求脱节、养护质量参差不齐等问题。此外，随着智慧城市、数字中国建设的推进，园林绿化作为城市生态核心组成部分，亟需通过标准化建设衔接城市管理数字化体系。因此，制定本标准是解决行业痛点、适配数字化发展趋势、满足城市生态建设需求的必要举措，为数字化养护的规范化、规模化推广提供坚实保障。</w:t>
      </w:r>
      <w:bookmarkStart w:id="34" w:name="BT3"/>
      <w:bookmarkEnd w:id="34"/>
    </w:p>
    <w:p w14:paraId="3FE7694B" w14:textId="2942BCD6"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F81E44" w:rsidRPr="00F81E44">
        <w:rPr>
          <w:rFonts w:ascii="仿宋" w:eastAsia="仿宋" w:hAnsi="仿宋" w:cs="仿宋" w:hint="eastAsia"/>
          <w:sz w:val="21"/>
          <w:szCs w:val="21"/>
        </w:rPr>
        <w:t>本标准通过明确数字化养护的技术要求与实施规范，既回应了行业对统一技术标准的迫切需求，又为园林绿化养护数字化转型提供了科学指引，其制定兼具明确的实践目的、显著的行业与生态意义，以及解决当前发展瓶颈的现实必要性。标准的实施将有效整合技术资源、规范作业流程、提升养护质量与效率，助力园林绿化行业实现精准化、智能化、绿色化发展，为城市生态建设与高质量发展提供有力支撑</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三、起草单位和主要工作成员及其所作工作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71DD68B0"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A901A3" w:rsidRPr="00A901A3">
        <w:rPr>
          <w:rFonts w:ascii="仿宋" w:eastAsia="仿宋" w:hAnsi="仿宋" w:cs="仿宋" w:hint="eastAsia"/>
          <w:szCs w:val="21"/>
        </w:rPr>
        <w:t>南通经济技术开发区公用事业管理有限公司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lastRenderedPageBreak/>
        <w:t>2.主要工作成员及其所做工作</w:t>
      </w:r>
    </w:p>
    <w:p w14:paraId="4F06396F" w14:textId="418FE93E"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7F9D57AF" w:rsidR="00AC4878" w:rsidRDefault="00704DE6">
            <w:pPr>
              <w:pStyle w:val="affb"/>
              <w:ind w:firstLineChars="0" w:firstLine="0"/>
              <w:rPr>
                <w:rFonts w:ascii="仿宋" w:eastAsia="仿宋" w:hAnsi="仿宋" w:cs="仿宋" w:hint="eastAsia"/>
                <w:szCs w:val="21"/>
                <w:highlight w:val="yellow"/>
              </w:rPr>
            </w:pPr>
            <w:r w:rsidRPr="00704DE6">
              <w:rPr>
                <w:rFonts w:ascii="仿宋" w:eastAsia="仿宋" w:hAnsi="仿宋" w:cs="仿宋" w:hint="eastAsia"/>
                <w:szCs w:val="21"/>
              </w:rPr>
              <w:t>南通经济技术开发区公用事业管理有限公司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基于调研结果明确标准编制范围、核心技术内容及预期目标，提交立项申请及相关材料，经团体标准管理机构审核通过后正式立项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要求搭建标准框架，细化各章节技术指标与操作规范，完成标准草案初稿并内部研讨修改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r w:rsidRPr="00366ACC">
        <w:rPr>
          <w:rFonts w:ascii="仿宋" w:eastAsia="仿宋" w:hAnsi="仿宋" w:cs="仿宋" w:hint="eastAsia"/>
          <w:szCs w:val="21"/>
        </w:rPr>
        <w:t>完善送审稿相关材料，按规定流程报送团体标准管理机构，经审核确认符合发布要求后，办理报批手续，确定标准发布编号、实施日期并正式发布。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p>
    <w:p w14:paraId="1555FE23"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传感器精度试验：对土壤温湿度、pH 值、空气温湿度等 6 类必测指标传感器进行 5 轮重复测试，结果显示土壤温度测量误差≤±0.4℃、土壤体积含水量误差≤±1.8%、pH 值误差≤±0.15，均优于标准规定的阈值，植物种类识别准确率达 93.2%，满足数字化养护数据采集的精度要求。</w:t>
      </w:r>
    </w:p>
    <w:p w14:paraId="1F034096"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系统传输稳定性试验：连续 72 小时监测数据传输情况，4G/5G、LoRa 两种主流传输方式的平均传输成功率达 99.1%，单次传输延迟≤25 秒，网络中断后边缘网关本地缓存数据 72 小时无丢失，恢复网络后数据补传完整性达 100%，符合数据传输技术要求。</w:t>
      </w:r>
    </w:p>
    <w:p w14:paraId="5AD172FD"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lastRenderedPageBreak/>
        <w:t>智能作业效果试验：智能灌溉与传统灌溉对比，灌溉均匀度达 88%，水利用系数 0.85，水资源节约率 32%；精准施肥较传统施肥肥料利用率提升 23%，施肥量误差≤±4.2%；病虫害数字化监测识别准确率 91.5%，预警响应时间平均 18 小时，较传统人工监测效率提升 60%，作业效果显著优于传统模式。</w:t>
      </w:r>
    </w:p>
    <w:p w14:paraId="601424B3" w14:textId="02E9B345" w:rsidR="00AC4878"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平台功能与数据安全试验：养护大数据平台的可视化、预警、调度、分析等核心功能全部实现，页面加载时间≤2.5 秒，数据查询响应≤1.8 秒；通过网络安全扫描与模拟攻击测试，平台符合网络安全等级保护二级要求，数据加密传输与存储无泄露风险，满足安全规范</w:t>
      </w:r>
      <w:r w:rsidR="001F2D0D" w:rsidRPr="001F2D0D">
        <w:rPr>
          <w:rFonts w:ascii="仿宋" w:eastAsia="仿宋" w:hAnsi="仿宋" w:cs="仿宋" w:hint="eastAsia"/>
          <w:szCs w:val="21"/>
        </w:rPr>
        <w:t>。</w:t>
      </w:r>
    </w:p>
    <w:p w14:paraId="0CCF6F6F"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78AB6E13" w14:textId="4385290B" w:rsidR="001F2D0D" w:rsidRDefault="00894C67">
      <w:pPr>
        <w:pStyle w:val="affb"/>
        <w:rPr>
          <w:rFonts w:ascii="仿宋" w:eastAsia="仿宋" w:hAnsi="仿宋" w:cs="仿宋" w:hint="eastAsia"/>
          <w:szCs w:val="21"/>
        </w:rPr>
      </w:pPr>
      <w:r w:rsidRPr="00894C67">
        <w:rPr>
          <w:rFonts w:ascii="仿宋" w:eastAsia="仿宋" w:hAnsi="仿宋" w:cs="仿宋" w:hint="eastAsia"/>
          <w:szCs w:val="21"/>
        </w:rPr>
        <w:t>本次试验验证覆盖标准核心技术要求，试点项目涉及不同绿地类型与气候条件，试验数据具有广泛代表性。结果表明，标准规定的技术指标、试验方法、检验规则科学合理，数字化养护系统架构适配性强，智能作业流程可落地性高，数据安全防护措施有效。试验中未出现关键指标不达标情况，非关键指标经小幅优化后完全满足要求，证明标准的技术要求符合行业实际需求，能够为园林绿化工程数字化养护提供统一、规范的技术指引，具备全面推广应用的条件。</w:t>
      </w:r>
      <w:r w:rsidR="001F2D0D" w:rsidRPr="001F2D0D">
        <w:rPr>
          <w:rFonts w:ascii="仿宋" w:eastAsia="仿宋" w:hAnsi="仿宋" w:cs="仿宋" w:hint="eastAsia"/>
          <w:szCs w:val="21"/>
        </w:rPr>
        <w:t>。</w:t>
      </w:r>
    </w:p>
    <w:p w14:paraId="64D27F77" w14:textId="719B94E1" w:rsidR="00AC4878" w:rsidRDefault="00000000">
      <w:pPr>
        <w:pStyle w:val="affb"/>
        <w:rPr>
          <w:rFonts w:ascii="仿宋" w:eastAsia="仿宋" w:hAnsi="仿宋" w:cs="仿宋" w:hint="eastAsia"/>
          <w:szCs w:val="21"/>
        </w:rPr>
      </w:pPr>
      <w:r>
        <w:rPr>
          <w:rFonts w:ascii="仿宋" w:eastAsia="仿宋" w:hAnsi="仿宋" w:cs="仿宋" w:hint="eastAsia"/>
          <w:szCs w:val="21"/>
        </w:rPr>
        <w:t>3. 技术经济论证</w:t>
      </w:r>
    </w:p>
    <w:p w14:paraId="40C0DA0F"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技术成熟度：标准采用的物联网传感器、大数据平台、AI 图像识别、智能灌溉等核心技术，已在园林绿化、农业、市政等领域规模化应用，相关设备（如低功耗传感器、边缘网关）与软件系统（如 GIS 可视化平台）技术迭代成熟，供货稳定，无需依赖突破性新技术。</w:t>
      </w:r>
    </w:p>
    <w:p w14:paraId="417A539B"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适配性强：标准充分考虑不同绿地类型（公园、道路、居住区）、植物配置及区域气候差异，技术要求中明确 “因地制宜选型”“分区差异化部署”，可适配我国南北方不同生态环境与养护需求，避免技术与实际脱节。</w:t>
      </w:r>
    </w:p>
    <w:p w14:paraId="0CE63934"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可操作性高：标准规定的传感器部署间距、数据采集频率、智能作业参数等均基于试点试验优化确定，作业流程清晰，设备安装与运维无需专业高端人才，经基础培训即可上岗，降低技术应用门槛。</w:t>
      </w:r>
    </w:p>
    <w:p w14:paraId="2BE8E6AE" w14:textId="1C774A8E" w:rsidR="00AC4878"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兼容性良好：标准明确数据接口符合 GB/T 35628 要求，支持与城市园林绿化管理平台、气象数据平台对接，可融入现有智慧城市建设体系，避免重复建设与数据孤岛</w:t>
      </w:r>
      <w:r w:rsidR="001F2D0D">
        <w:rPr>
          <w:rFonts w:ascii="仿宋" w:eastAsia="仿宋" w:hAnsi="仿宋" w:cs="仿宋" w:hint="eastAsia"/>
          <w:szCs w:val="21"/>
        </w:rPr>
        <w:t>。</w:t>
      </w:r>
    </w:p>
    <w:p w14:paraId="1A9C3497"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4. 预期的经济效益</w:t>
      </w:r>
    </w:p>
    <w:p w14:paraId="3F69F6B4"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成本节约：通过智能灌溉、精准施肥减少水资源与农资消耗，预计行业整体水资源利用率提升 30% 以上，年节约灌溉用水约 1.2 亿立方米；化肥、农药用量减少 20%-25%，年降低农资成本超 20 亿元；人工巡检与作业效率提升 40%，减少重复性劳动，年节约人工成本超 50 亿元。</w:t>
      </w:r>
    </w:p>
    <w:p w14:paraId="5F2A3A85"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效率提升：数字化监测替代人工巡检，异常情况响应时间从 48 小时缩短至 24 小时内，养护作业误判率降低 60%，减少无效作业成本；养护大数据平台实现任务智能调度，资源配置优化，整体养护效率提升 50% 以上。</w:t>
      </w:r>
    </w:p>
    <w:p w14:paraId="6D96D5DA" w14:textId="006E0DA5" w:rsidR="00AC4878"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资产增值：数字化养护可延长绿地植物存活周期，减少补植频次，降低补植成本；同时绿地景观效果与生态功能稳定，提升周边土地价值与物业附加值，间接带动相关产业经济效益增长</w:t>
      </w:r>
      <w:r w:rsidR="001F2D0D">
        <w:rPr>
          <w:rFonts w:ascii="仿宋" w:eastAsia="仿宋" w:hAnsi="仿宋" w:cs="仿宋" w:hint="eastAsia"/>
          <w:szCs w:val="21"/>
        </w:rPr>
        <w:t>。</w:t>
      </w:r>
    </w:p>
    <w:p w14:paraId="4F98292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 社会效益和生态效益</w:t>
      </w:r>
    </w:p>
    <w:p w14:paraId="462FACEA"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行业升级：标准统一数字化养护技术语言与操作规范，推动园林绿化行业从 “经验型” 向 “精准型”“智能型” 转型，提升行业技术水平与标准化程度，助力行业高质量发展。</w:t>
      </w:r>
    </w:p>
    <w:p w14:paraId="2E09790E"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管理赋能：数字化养护数据实时上传与可视化展示，为城市园林绿化管理提供精准决策支撑，提升政府监管效率，推动城市治理数字化、精细化，契合智慧城市建设需求。</w:t>
      </w:r>
    </w:p>
    <w:p w14:paraId="3C75E514" w14:textId="77777777" w:rsidR="00894C67" w:rsidRPr="00894C67"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就业优化：带动数字化养护设备生产、安装、运维等相关产业发展，创造新的就业岗位；同时促进传统养护人员技能升级，从体力劳动向技术型岗位转型，提升从业人员职业价值。</w:t>
      </w:r>
    </w:p>
    <w:p w14:paraId="62991666" w14:textId="2700E71D" w:rsidR="00AC4878" w:rsidRDefault="00894C67" w:rsidP="00894C67">
      <w:pPr>
        <w:pStyle w:val="affb"/>
        <w:rPr>
          <w:rFonts w:ascii="仿宋" w:eastAsia="仿宋" w:hAnsi="仿宋" w:cs="仿宋" w:hint="eastAsia"/>
          <w:szCs w:val="21"/>
        </w:rPr>
      </w:pPr>
      <w:r w:rsidRPr="00894C67">
        <w:rPr>
          <w:rFonts w:ascii="仿宋" w:eastAsia="仿宋" w:hAnsi="仿宋" w:cs="仿宋" w:hint="eastAsia"/>
          <w:szCs w:val="21"/>
        </w:rPr>
        <w:t>民生改善：标准化的数字化养护使绿地景观更整洁、生态功能更稳定，为市民提供更优质的休闲游憩环境，提升居民生活幸福感与城市宜居度</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lastRenderedPageBreak/>
        <w:t>八、以国际标准为基础的起草情况，以及是否合规引用或者采用国际国外标准，并说明未采用国际标准的原因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55B1F24D" w14:textId="147D74A4" w:rsidR="00AC4878" w:rsidRDefault="00F119C6" w:rsidP="001F2D0D">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F119C6">
        <w:rPr>
          <w:rFonts w:ascii="仿宋" w:eastAsia="仿宋" w:hAnsi="仿宋" w:cs="仿宋" w:hint="eastAsia"/>
          <w:szCs w:val="21"/>
        </w:rPr>
        <w:t>本文件规定了园林绿化工程数字化养护的规划设计、设备部署、作业实施、监测评估、系统运维等活动的技术要求、试验方法、检验规则、标志包装运输和贮存及运维管理要求。本文件适用于城市公园绿地、道路附属绿地、居住区绿地等各类人工营造园林绿化工程的数字化养护工作，不适用于古树名木专项数字化养护及特殊生态区域的园林绿化养护活动</w:t>
      </w:r>
      <w:r w:rsidR="001F2D0D">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0440488E" w14:textId="77777777" w:rsidR="00E71586" w:rsidRPr="00E71586" w:rsidRDefault="00E71586" w:rsidP="00E71586">
      <w:pPr>
        <w:pStyle w:val="affb"/>
        <w:rPr>
          <w:rFonts w:ascii="仿宋" w:eastAsia="仿宋" w:hAnsi="仿宋" w:cs="仿宋" w:hint="eastAsia"/>
          <w:szCs w:val="21"/>
        </w:rPr>
      </w:pPr>
      <w:r w:rsidRPr="00E71586">
        <w:rPr>
          <w:rFonts w:ascii="仿宋" w:eastAsia="仿宋" w:hAnsi="仿宋" w:cs="仿宋" w:hint="eastAsia"/>
          <w:szCs w:val="21"/>
        </w:rPr>
        <w:t>GB/T 22239  信息安全技术 网络安全等级保护基本要求</w:t>
      </w:r>
    </w:p>
    <w:p w14:paraId="312C29E2" w14:textId="77777777" w:rsidR="00E71586" w:rsidRPr="00E71586" w:rsidRDefault="00E71586" w:rsidP="00E71586">
      <w:pPr>
        <w:pStyle w:val="affb"/>
        <w:rPr>
          <w:rFonts w:ascii="仿宋" w:eastAsia="仿宋" w:hAnsi="仿宋" w:cs="仿宋" w:hint="eastAsia"/>
          <w:szCs w:val="21"/>
        </w:rPr>
      </w:pPr>
      <w:r w:rsidRPr="00E71586">
        <w:rPr>
          <w:rFonts w:ascii="仿宋" w:eastAsia="仿宋" w:hAnsi="仿宋" w:cs="仿宋" w:hint="eastAsia"/>
          <w:szCs w:val="21"/>
        </w:rPr>
        <w:t>GB/T 35628  实景地图数据产品</w:t>
      </w:r>
    </w:p>
    <w:p w14:paraId="064F82B8" w14:textId="77777777" w:rsidR="00E71586" w:rsidRPr="00E71586" w:rsidRDefault="00E71586" w:rsidP="00E71586">
      <w:pPr>
        <w:pStyle w:val="affb"/>
        <w:rPr>
          <w:rFonts w:ascii="仿宋" w:eastAsia="仿宋" w:hAnsi="仿宋" w:cs="仿宋" w:hint="eastAsia"/>
          <w:szCs w:val="21"/>
        </w:rPr>
      </w:pPr>
      <w:r w:rsidRPr="00E71586">
        <w:rPr>
          <w:rFonts w:ascii="仿宋" w:eastAsia="仿宋" w:hAnsi="仿宋" w:cs="仿宋" w:hint="eastAsia"/>
          <w:szCs w:val="21"/>
        </w:rPr>
        <w:t>GB 50174  数据中心设计规范</w:t>
      </w:r>
    </w:p>
    <w:p w14:paraId="6EC9F942" w14:textId="19BEED5E" w:rsidR="00AC4878" w:rsidRPr="0023380B" w:rsidRDefault="00E71586" w:rsidP="00E71586">
      <w:pPr>
        <w:pStyle w:val="affb"/>
        <w:rPr>
          <w:rFonts w:ascii="仿宋" w:eastAsia="仿宋" w:hAnsi="仿宋" w:cs="仿宋" w:hint="eastAsia"/>
          <w:szCs w:val="21"/>
        </w:rPr>
      </w:pPr>
      <w:r w:rsidRPr="00E71586">
        <w:rPr>
          <w:rFonts w:ascii="仿宋" w:eastAsia="仿宋" w:hAnsi="仿宋" w:cs="仿宋" w:hint="eastAsia"/>
          <w:szCs w:val="21"/>
        </w:rPr>
        <w:t>CJ/T 223  合金镀层（HA）钢管及管件</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15B74252" w14:textId="0625B465" w:rsidR="00F119C6" w:rsidRPr="00F119C6" w:rsidRDefault="00F119C6" w:rsidP="00F119C6">
      <w:pPr>
        <w:pStyle w:val="affffffff"/>
        <w:adjustRightInd w:val="0"/>
        <w:snapToGrid w:val="0"/>
        <w:ind w:firstLine="420"/>
        <w:rPr>
          <w:rFonts w:ascii="仿宋" w:eastAsia="仿宋" w:hAnsi="仿宋" w:cs="仿宋" w:hint="eastAsia"/>
          <w:szCs w:val="21"/>
        </w:rPr>
      </w:pPr>
      <w:r w:rsidRPr="00F119C6">
        <w:rPr>
          <w:rFonts w:ascii="仿宋" w:eastAsia="仿宋" w:hAnsi="仿宋" w:cs="仿宋" w:hint="eastAsia"/>
          <w:szCs w:val="21"/>
        </w:rPr>
        <w:t>界定了数字化养护、园林绿化物联网监测系统、养护大数据平台、智能灌溉系统、精准施肥等园林绿化工程数字化养护相关的核心术语定义，统一技术表述。</w:t>
      </w:r>
    </w:p>
    <w:p w14:paraId="6360CEF3" w14:textId="00F43050" w:rsidR="00F119C6" w:rsidRPr="00F119C6" w:rsidRDefault="00F119C6" w:rsidP="00F119C6">
      <w:pPr>
        <w:pStyle w:val="affffffff"/>
        <w:adjustRightInd w:val="0"/>
        <w:snapToGrid w:val="0"/>
        <w:ind w:firstLineChars="0" w:firstLine="0"/>
        <w:rPr>
          <w:rFonts w:ascii="仿宋" w:eastAsia="仿宋" w:hAnsi="仿宋" w:cs="仿宋"/>
          <w:b/>
          <w:bCs/>
          <w:szCs w:val="21"/>
        </w:rPr>
      </w:pPr>
      <w:r w:rsidRPr="00F119C6">
        <w:rPr>
          <w:rFonts w:ascii="仿宋" w:eastAsia="仿宋" w:hAnsi="仿宋" w:cs="仿宋" w:hint="eastAsia"/>
          <w:b/>
          <w:bCs/>
          <w:szCs w:val="21"/>
        </w:rPr>
        <w:t>4.</w:t>
      </w:r>
      <w:r w:rsidRPr="00F119C6">
        <w:rPr>
          <w:rFonts w:ascii="仿宋" w:eastAsia="仿宋" w:hAnsi="仿宋" w:cs="仿宋" w:hint="eastAsia"/>
          <w:b/>
          <w:bCs/>
          <w:szCs w:val="21"/>
        </w:rPr>
        <w:t>技术要求</w:t>
      </w:r>
    </w:p>
    <w:p w14:paraId="32780221" w14:textId="0CF663D6" w:rsidR="00F119C6" w:rsidRPr="00F119C6" w:rsidRDefault="00F119C6" w:rsidP="00F119C6">
      <w:pPr>
        <w:pStyle w:val="affffffff"/>
        <w:adjustRightInd w:val="0"/>
        <w:snapToGrid w:val="0"/>
        <w:ind w:firstLine="420"/>
        <w:rPr>
          <w:rFonts w:ascii="仿宋" w:eastAsia="仿宋" w:hAnsi="仿宋" w:cs="仿宋" w:hint="eastAsia"/>
          <w:szCs w:val="21"/>
        </w:rPr>
      </w:pPr>
      <w:r w:rsidRPr="00F119C6">
        <w:rPr>
          <w:rFonts w:ascii="仿宋" w:eastAsia="仿宋" w:hAnsi="仿宋" w:cs="仿宋" w:hint="eastAsia"/>
          <w:szCs w:val="21"/>
        </w:rPr>
        <w:t>规定了园林绿化工程数字化养护的总体要求，以及基础数据采集、数字化监测系统、智能养护作业（含智能灌溉、精准施肥、病虫害防治、修剪作业等）、养护大数据平台、数字化评价与优化等关键环节的具体技术要求。</w:t>
      </w:r>
    </w:p>
    <w:p w14:paraId="54CAFB62" w14:textId="76AD856C" w:rsidR="00F119C6" w:rsidRPr="00F119C6" w:rsidRDefault="00F119C6" w:rsidP="00F119C6">
      <w:pPr>
        <w:pStyle w:val="affffffff"/>
        <w:adjustRightInd w:val="0"/>
        <w:snapToGrid w:val="0"/>
        <w:ind w:firstLineChars="0" w:firstLine="0"/>
        <w:rPr>
          <w:rFonts w:ascii="仿宋" w:eastAsia="仿宋" w:hAnsi="仿宋" w:cs="仿宋"/>
          <w:b/>
          <w:bCs/>
          <w:szCs w:val="21"/>
        </w:rPr>
      </w:pPr>
      <w:r w:rsidRPr="00F119C6">
        <w:rPr>
          <w:rFonts w:ascii="仿宋" w:eastAsia="仿宋" w:hAnsi="仿宋" w:cs="仿宋" w:hint="eastAsia"/>
          <w:b/>
          <w:bCs/>
          <w:szCs w:val="21"/>
        </w:rPr>
        <w:t>5.</w:t>
      </w:r>
      <w:r w:rsidRPr="00F119C6">
        <w:rPr>
          <w:rFonts w:ascii="仿宋" w:eastAsia="仿宋" w:hAnsi="仿宋" w:cs="仿宋" w:hint="eastAsia"/>
          <w:b/>
          <w:bCs/>
          <w:szCs w:val="21"/>
        </w:rPr>
        <w:t>试验方法</w:t>
      </w:r>
    </w:p>
    <w:p w14:paraId="40F68A9F" w14:textId="7E491581" w:rsidR="00F119C6" w:rsidRPr="00F119C6" w:rsidRDefault="00F119C6" w:rsidP="00F119C6">
      <w:pPr>
        <w:pStyle w:val="affffffff"/>
        <w:adjustRightInd w:val="0"/>
        <w:snapToGrid w:val="0"/>
        <w:ind w:firstLine="420"/>
        <w:rPr>
          <w:rFonts w:ascii="仿宋" w:eastAsia="仿宋" w:hAnsi="仿宋" w:cs="仿宋" w:hint="eastAsia"/>
          <w:szCs w:val="21"/>
        </w:rPr>
      </w:pPr>
      <w:r w:rsidRPr="00F119C6">
        <w:rPr>
          <w:rFonts w:ascii="仿宋" w:eastAsia="仿宋" w:hAnsi="仿宋" w:cs="仿宋" w:hint="eastAsia"/>
          <w:szCs w:val="21"/>
        </w:rPr>
        <w:t>明确了传感器精度、系统传输稳定性、智能作业效果、平台功能、数据安全等核心指标的试验验证方法，确保技术要求的可检验性。</w:t>
      </w:r>
    </w:p>
    <w:p w14:paraId="711B641B" w14:textId="4A86D3EC" w:rsidR="00F119C6" w:rsidRPr="00F119C6" w:rsidRDefault="00F119C6" w:rsidP="00F119C6">
      <w:pPr>
        <w:pStyle w:val="affffffff"/>
        <w:adjustRightInd w:val="0"/>
        <w:snapToGrid w:val="0"/>
        <w:ind w:firstLineChars="0" w:firstLine="0"/>
        <w:rPr>
          <w:rFonts w:ascii="仿宋" w:eastAsia="仿宋" w:hAnsi="仿宋" w:cs="仿宋"/>
          <w:b/>
          <w:bCs/>
          <w:szCs w:val="21"/>
        </w:rPr>
      </w:pPr>
      <w:r w:rsidRPr="00F119C6">
        <w:rPr>
          <w:rFonts w:ascii="仿宋" w:eastAsia="仿宋" w:hAnsi="仿宋" w:cs="仿宋" w:hint="eastAsia"/>
          <w:b/>
          <w:bCs/>
          <w:szCs w:val="21"/>
        </w:rPr>
        <w:t>6.</w:t>
      </w:r>
      <w:r w:rsidRPr="00F119C6">
        <w:rPr>
          <w:rFonts w:ascii="仿宋" w:eastAsia="仿宋" w:hAnsi="仿宋" w:cs="仿宋" w:hint="eastAsia"/>
          <w:b/>
          <w:bCs/>
          <w:szCs w:val="21"/>
        </w:rPr>
        <w:t>检验规则</w:t>
      </w:r>
    </w:p>
    <w:p w14:paraId="4D30DF69" w14:textId="42166B33" w:rsidR="00F119C6" w:rsidRPr="00F119C6" w:rsidRDefault="00F119C6" w:rsidP="00F119C6">
      <w:pPr>
        <w:pStyle w:val="affffffff"/>
        <w:adjustRightInd w:val="0"/>
        <w:snapToGrid w:val="0"/>
        <w:ind w:firstLine="420"/>
        <w:rPr>
          <w:rFonts w:ascii="仿宋" w:eastAsia="仿宋" w:hAnsi="仿宋" w:cs="仿宋" w:hint="eastAsia"/>
          <w:szCs w:val="21"/>
        </w:rPr>
      </w:pPr>
      <w:r w:rsidRPr="00F119C6">
        <w:rPr>
          <w:rFonts w:ascii="仿宋" w:eastAsia="仿宋" w:hAnsi="仿宋" w:cs="仿宋" w:hint="eastAsia"/>
          <w:szCs w:val="21"/>
        </w:rPr>
        <w:t>规定了数字化养护相关设备及系统的出厂检验、型式检验、现场检验的检验类型、检验项目及判定规则，规范质量检验流程。</w:t>
      </w:r>
    </w:p>
    <w:p w14:paraId="71F5B0AF" w14:textId="1CAD5383" w:rsidR="00F119C6" w:rsidRPr="00F119C6" w:rsidRDefault="00F119C6" w:rsidP="00F119C6">
      <w:pPr>
        <w:pStyle w:val="affffffff"/>
        <w:adjustRightInd w:val="0"/>
        <w:snapToGrid w:val="0"/>
        <w:ind w:firstLineChars="0" w:firstLine="0"/>
        <w:rPr>
          <w:rFonts w:ascii="仿宋" w:eastAsia="仿宋" w:hAnsi="仿宋" w:cs="仿宋"/>
          <w:b/>
          <w:bCs/>
          <w:szCs w:val="21"/>
        </w:rPr>
      </w:pPr>
      <w:r w:rsidRPr="00F119C6">
        <w:rPr>
          <w:rFonts w:ascii="仿宋" w:eastAsia="仿宋" w:hAnsi="仿宋" w:cs="仿宋" w:hint="eastAsia"/>
          <w:b/>
          <w:bCs/>
          <w:szCs w:val="21"/>
        </w:rPr>
        <w:t>7.</w:t>
      </w:r>
      <w:r w:rsidRPr="00F119C6">
        <w:rPr>
          <w:rFonts w:ascii="仿宋" w:eastAsia="仿宋" w:hAnsi="仿宋" w:cs="仿宋" w:hint="eastAsia"/>
          <w:b/>
          <w:bCs/>
          <w:szCs w:val="21"/>
        </w:rPr>
        <w:t>标志、包装、运输和贮存</w:t>
      </w:r>
    </w:p>
    <w:p w14:paraId="66F79D54" w14:textId="1C227BD7" w:rsidR="00F119C6" w:rsidRPr="00F119C6" w:rsidRDefault="00F119C6" w:rsidP="00F119C6">
      <w:pPr>
        <w:pStyle w:val="affffffff"/>
        <w:adjustRightInd w:val="0"/>
        <w:snapToGrid w:val="0"/>
        <w:ind w:firstLine="420"/>
        <w:rPr>
          <w:rFonts w:ascii="仿宋" w:eastAsia="仿宋" w:hAnsi="仿宋" w:cs="仿宋" w:hint="eastAsia"/>
          <w:szCs w:val="21"/>
        </w:rPr>
      </w:pPr>
      <w:r w:rsidRPr="00F119C6">
        <w:rPr>
          <w:rFonts w:ascii="仿宋" w:eastAsia="仿宋" w:hAnsi="仿宋" w:cs="仿宋" w:hint="eastAsia"/>
          <w:szCs w:val="21"/>
        </w:rPr>
        <w:t>明确了数字化养护设备的标志标注要求、包装防护标准、运输过程中的注意事项及贮存环境条件，保障设备质量稳定性。</w:t>
      </w:r>
    </w:p>
    <w:p w14:paraId="227FF446" w14:textId="298FEC70" w:rsidR="00F119C6" w:rsidRPr="00F119C6" w:rsidRDefault="00F119C6" w:rsidP="00F119C6">
      <w:pPr>
        <w:pStyle w:val="affffffff"/>
        <w:adjustRightInd w:val="0"/>
        <w:snapToGrid w:val="0"/>
        <w:ind w:firstLineChars="0" w:firstLine="0"/>
        <w:rPr>
          <w:rFonts w:ascii="仿宋" w:eastAsia="仿宋" w:hAnsi="仿宋" w:cs="仿宋"/>
          <w:b/>
          <w:bCs/>
          <w:szCs w:val="21"/>
        </w:rPr>
      </w:pPr>
      <w:r w:rsidRPr="00F119C6">
        <w:rPr>
          <w:rFonts w:ascii="仿宋" w:eastAsia="仿宋" w:hAnsi="仿宋" w:cs="仿宋" w:hint="eastAsia"/>
          <w:b/>
          <w:bCs/>
          <w:szCs w:val="21"/>
        </w:rPr>
        <w:t>8.</w:t>
      </w:r>
      <w:r w:rsidRPr="00F119C6">
        <w:rPr>
          <w:rFonts w:ascii="仿宋" w:eastAsia="仿宋" w:hAnsi="仿宋" w:cs="仿宋" w:hint="eastAsia"/>
          <w:b/>
          <w:bCs/>
          <w:szCs w:val="21"/>
        </w:rPr>
        <w:t>运维管理</w:t>
      </w:r>
    </w:p>
    <w:p w14:paraId="6397AAC7" w14:textId="7419F2AE" w:rsidR="00AC4878" w:rsidRDefault="00F119C6" w:rsidP="00F119C6">
      <w:pPr>
        <w:pStyle w:val="affffffff"/>
        <w:adjustRightInd w:val="0"/>
        <w:snapToGrid w:val="0"/>
        <w:ind w:firstLine="420"/>
        <w:rPr>
          <w:rFonts w:ascii="仿宋" w:eastAsia="仿宋" w:hAnsi="仿宋" w:cs="仿宋" w:hint="eastAsia"/>
          <w:b/>
          <w:bCs/>
          <w:szCs w:val="21"/>
        </w:rPr>
      </w:pPr>
      <w:r w:rsidRPr="00F119C6">
        <w:rPr>
          <w:rFonts w:ascii="仿宋" w:eastAsia="仿宋" w:hAnsi="仿宋" w:cs="仿宋" w:hint="eastAsia"/>
          <w:szCs w:val="21"/>
        </w:rPr>
        <w:t>规定了数字化养护系统的日常运维、故障处理要求及相关人员的能力资质要求，确保系统长期稳定运行。</w:t>
      </w:r>
      <w:r w:rsidR="00CE7277" w:rsidRPr="00CE7277">
        <w:rPr>
          <w:rFonts w:ascii="仿宋" w:eastAsia="仿宋" w:hAnsi="仿宋" w:cs="仿宋" w:hint="eastAsia"/>
          <w:szCs w:val="21"/>
        </w:rPr>
        <w:t>。</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headerReference w:type="default" r:id="rId9"/>
      <w:footerReference w:type="even" r:id="rId10"/>
      <w:footerReference w:type="default" r:id="rId11"/>
      <w:headerReference w:type="first" r:id="rId12"/>
      <w:footerReference w:type="first" r:id="rId13"/>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BEED" w14:textId="77777777" w:rsidR="004114D8" w:rsidRDefault="004114D8">
      <w:r>
        <w:separator/>
      </w:r>
    </w:p>
  </w:endnote>
  <w:endnote w:type="continuationSeparator" w:id="0">
    <w:p w14:paraId="436D583B" w14:textId="77777777" w:rsidR="004114D8" w:rsidRDefault="0041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481" w14:textId="77777777" w:rsidR="00F119C6" w:rsidRDefault="00F119C6">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69CB" w14:textId="77777777" w:rsidR="004114D8" w:rsidRDefault="004114D8">
      <w:r>
        <w:separator/>
      </w:r>
    </w:p>
  </w:footnote>
  <w:footnote w:type="continuationSeparator" w:id="0">
    <w:p w14:paraId="5369E4FB" w14:textId="77777777" w:rsidR="004114D8" w:rsidRDefault="00411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24F9" w14:textId="77777777" w:rsidR="00F119C6" w:rsidRDefault="00F119C6">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DA60" w14:textId="77777777" w:rsidR="00F119C6" w:rsidRDefault="00F119C6">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1991"/>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4D8"/>
    <w:rsid w:val="00411DDF"/>
    <w:rsid w:val="00413456"/>
    <w:rsid w:val="0041401B"/>
    <w:rsid w:val="00415591"/>
    <w:rsid w:val="0041736E"/>
    <w:rsid w:val="00420716"/>
    <w:rsid w:val="004214E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E6"/>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4C67"/>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5B07"/>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1A3"/>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7A"/>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3A0B"/>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5DE7"/>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158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9C6"/>
    <w:rsid w:val="00F11BB5"/>
    <w:rsid w:val="00F122E2"/>
    <w:rsid w:val="00F12353"/>
    <w:rsid w:val="00F13830"/>
    <w:rsid w:val="00F1417B"/>
    <w:rsid w:val="00F14911"/>
    <w:rsid w:val="00F14963"/>
    <w:rsid w:val="00F15DA5"/>
    <w:rsid w:val="00F16DAC"/>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1E44"/>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5</Pages>
  <Words>2138</Words>
  <Characters>2567</Characters>
  <Application>Microsoft Office Word</Application>
  <DocSecurity>0</DocSecurity>
  <Lines>98</Lines>
  <Paragraphs>147</Paragraphs>
  <ScaleCrop>false</ScaleCrop>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