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39EC5498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0C71DD" w:rsidRPr="000C71DD">
        <w:rPr>
          <w:rFonts w:ascii="仿宋" w:eastAsia="仿宋" w:hAnsi="仿宋" w:cs="仿宋" w:hint="eastAsia"/>
          <w:b/>
          <w:bCs/>
          <w:sz w:val="32"/>
          <w:szCs w:val="32"/>
        </w:rPr>
        <w:t>水体污染物排放规范与处理技术规范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67D05CF3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0C71DD" w:rsidRPr="000C71DD">
        <w:rPr>
          <w:rFonts w:ascii="仿宋" w:eastAsia="仿宋" w:hAnsi="仿宋" w:cs="仿宋" w:hint="eastAsia"/>
          <w:szCs w:val="21"/>
        </w:rPr>
        <w:t>水体污染物排放规范与处理技术规范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323BABB2" w:rsidR="00AC4878" w:rsidRDefault="000C71D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C71DD">
        <w:rPr>
          <w:rFonts w:ascii="仿宋" w:eastAsia="仿宋" w:hAnsi="仿宋" w:cs="仿宋" w:hint="eastAsia"/>
          <w:sz w:val="21"/>
          <w:szCs w:val="21"/>
        </w:rPr>
        <w:t>本标准编写的核心目的是明确水体污染物排放的控制指标、限值要求及处理技术的工艺参数、运行管理规范，统一工业企业、城镇污水处理厂等排污单位的污染排放与处理行为准则，为排污单位提供可操作的技术依据，同时为生态环境监管部门开展监督检查、达标判定提供统一标准，最终实现对水体污染物排放的精准管控，推动水环境质量持续改善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259347F7" w:rsidR="00AC4878" w:rsidRDefault="000C71DD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C71DD">
        <w:rPr>
          <w:rFonts w:ascii="仿宋" w:eastAsia="仿宋" w:hAnsi="仿宋" w:cs="仿宋" w:hint="eastAsia"/>
          <w:sz w:val="21"/>
          <w:szCs w:val="21"/>
        </w:rPr>
        <w:t>本标准的制定与实施具有重要现实意义，一方面能够规范排污单位的污染治理行为，倒</w:t>
      </w:r>
      <w:proofErr w:type="gramStart"/>
      <w:r w:rsidRPr="000C71DD">
        <w:rPr>
          <w:rFonts w:ascii="仿宋" w:eastAsia="仿宋" w:hAnsi="仿宋" w:cs="仿宋" w:hint="eastAsia"/>
          <w:sz w:val="21"/>
          <w:szCs w:val="21"/>
        </w:rPr>
        <w:t>逼企业</w:t>
      </w:r>
      <w:proofErr w:type="gramEnd"/>
      <w:r w:rsidRPr="000C71DD">
        <w:rPr>
          <w:rFonts w:ascii="仿宋" w:eastAsia="仿宋" w:hAnsi="仿宋" w:cs="仿宋" w:hint="eastAsia"/>
          <w:sz w:val="21"/>
          <w:szCs w:val="21"/>
        </w:rPr>
        <w:t>升级处理设施、优化运行管理，从源头削减污染物排放总量；另一方面可填补部分行业污染物排放与处理技术的标准空白，解决现有标准针对性不强、技术要求不具体等问题，为水环境治理提供标准化支撑，同时引导环保技术创新与产业升级，促进经济社会发展与生态环境保护协同推进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2ECB7A0D" w:rsidR="00366ACC" w:rsidRDefault="000C71DD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0C71DD">
        <w:rPr>
          <w:rFonts w:ascii="仿宋" w:eastAsia="仿宋" w:hAnsi="仿宋" w:cs="仿宋" w:hint="eastAsia"/>
          <w:sz w:val="21"/>
          <w:szCs w:val="21"/>
        </w:rPr>
        <w:t>当前我国水环境治理面临污染物排放来源复杂、行业污染特征差异大、部分处理技术应用不规范等问题，现有国家标准存在适用范围较宽、部分指标限值与区域治理需求不匹配、技术要求缺乏细化指导等不足，导致排污单位治理无明确依据、监管部门执法缺乏精准标准。因此，制定本标准十分必要，既能针对性解决不同行业、不同场景的污染控制痛点，又能衔接现有法律法规与国家标准，形成层级清晰、衔接有序的标准体系，为水环境质量改善提供坚实保障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76E6F391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0C71DD" w:rsidRPr="000C71DD">
        <w:rPr>
          <w:rFonts w:ascii="仿宋" w:eastAsia="仿宋" w:hAnsi="仿宋" w:cs="仿宋" w:hint="eastAsia"/>
          <w:sz w:val="21"/>
          <w:szCs w:val="21"/>
        </w:rPr>
        <w:t>随着我国生态文明建设的深入推进，水环境质量改善成为生态环境保护的核心任务之一，而污染物排放管控与处理技术规范是水环境治理的关键抓手。当前，工业废水、生活污水</w:t>
      </w:r>
      <w:proofErr w:type="gramStart"/>
      <w:r w:rsidR="000C71DD" w:rsidRPr="000C71DD">
        <w:rPr>
          <w:rFonts w:ascii="仿宋" w:eastAsia="仿宋" w:hAnsi="仿宋" w:cs="仿宋" w:hint="eastAsia"/>
          <w:sz w:val="21"/>
          <w:szCs w:val="21"/>
        </w:rPr>
        <w:t>排放仍</w:t>
      </w:r>
      <w:proofErr w:type="gramEnd"/>
      <w:r w:rsidR="000C71DD" w:rsidRPr="000C71DD">
        <w:rPr>
          <w:rFonts w:ascii="仿宋" w:eastAsia="仿宋" w:hAnsi="仿宋" w:cs="仿宋" w:hint="eastAsia"/>
          <w:sz w:val="21"/>
          <w:szCs w:val="21"/>
        </w:rPr>
        <w:t>存在超标排放、处理工艺不合理、运行管理不规范等问题，对地表水、地下水环境造成潜在风险，现有标准体系难以完全满足精准治污、科学治污的需求。本标准立足实际治理需求，整合现有法律法规与标准成果，聚焦常规污染物与行业特征污染物，明确差异化排放限值，细化预处理、主体处理、深度处理等关键单元的技术要求，规范监测方法与实施监督机制，构建了覆盖 “排放控制 - 技术应用 - 监测监管” 全链条的标准体系。标准的实施将有效提升水体污染物治理的针对性与实效性，助力排污单位实现达标排放，为生态环境监管提供有力支撑，对推动水环境质量持续改善、保障水资源安全、促进绿色低碳发展具有重要作用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3EBB2705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0725DE" w:rsidRPr="000725DE">
        <w:rPr>
          <w:rFonts w:ascii="仿宋" w:eastAsia="仿宋" w:hAnsi="仿宋" w:cs="仿宋" w:hint="eastAsia"/>
          <w:szCs w:val="21"/>
        </w:rPr>
        <w:t>浙江乡风工程设计有限公司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7AC160A2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10670116" w:rsidR="00AC4878" w:rsidRDefault="000725DE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0725DE">
              <w:rPr>
                <w:rFonts w:ascii="仿宋" w:eastAsia="仿宋" w:hAnsi="仿宋" w:cs="仿宋" w:hint="eastAsia"/>
                <w:szCs w:val="21"/>
              </w:rPr>
              <w:t>浙江乡风工程设计有限公司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</w:p>
    <w:p w14:paraId="601424B3" w14:textId="4B92B4FA" w:rsidR="00AC4878" w:rsidRDefault="00175DC2">
      <w:pPr>
        <w:pStyle w:val="affb"/>
        <w:rPr>
          <w:rFonts w:ascii="仿宋" w:eastAsia="仿宋" w:hAnsi="仿宋" w:cs="仿宋" w:hint="eastAsia"/>
          <w:szCs w:val="21"/>
        </w:rPr>
      </w:pPr>
      <w:r w:rsidRPr="00175DC2">
        <w:rPr>
          <w:rFonts w:ascii="仿宋" w:eastAsia="仿宋" w:hAnsi="仿宋" w:cs="仿宋" w:hint="eastAsia"/>
          <w:szCs w:val="21"/>
        </w:rPr>
        <w:t xml:space="preserve">本标准编制过程中，选取化工、印染、电镀、畜禽养殖等典型行业的 20 余家排污单位及 10 座城镇污水处理厂开展试验验证，通过连续 6 </w:t>
      </w:r>
      <w:proofErr w:type="gramStart"/>
      <w:r w:rsidRPr="00175DC2">
        <w:rPr>
          <w:rFonts w:ascii="仿宋" w:eastAsia="仿宋" w:hAnsi="仿宋" w:cs="仿宋" w:hint="eastAsia"/>
          <w:szCs w:val="21"/>
        </w:rPr>
        <w:t>个</w:t>
      </w:r>
      <w:proofErr w:type="gramEnd"/>
      <w:r w:rsidRPr="00175DC2">
        <w:rPr>
          <w:rFonts w:ascii="仿宋" w:eastAsia="仿宋" w:hAnsi="仿宋" w:cs="仿宋" w:hint="eastAsia"/>
          <w:szCs w:val="21"/>
        </w:rPr>
        <w:t>月的实地监测与工艺调试，系统验证了排放限值的科学性与处理技术的可行性。试验数据显示，采用标准推荐的预处理 + 生化处理 + 深度处理组合工艺时，常规污染物去除率稳定在 85% 以上，特征污染物去除率达 90% 以上，出水浓度均满足规定限值；不同规模处理设施在标准设定的工艺参数范围内运行，均能实现稳定达标，且运行能耗、药</w:t>
      </w:r>
      <w:proofErr w:type="gramStart"/>
      <w:r w:rsidRPr="00175DC2">
        <w:rPr>
          <w:rFonts w:ascii="仿宋" w:eastAsia="仿宋" w:hAnsi="仿宋" w:cs="仿宋" w:hint="eastAsia"/>
          <w:szCs w:val="21"/>
        </w:rPr>
        <w:t>耗处于</w:t>
      </w:r>
      <w:proofErr w:type="gramEnd"/>
      <w:r w:rsidRPr="00175DC2">
        <w:rPr>
          <w:rFonts w:ascii="仿宋" w:eastAsia="仿宋" w:hAnsi="仿宋" w:cs="仿宋" w:hint="eastAsia"/>
          <w:szCs w:val="21"/>
        </w:rPr>
        <w:t>行业合理水平，验证结果充分支撑了标准技术要求的合理性与可操作性。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0CCF6F6F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78AB6E13" w14:textId="7725B9C7" w:rsidR="001F2D0D" w:rsidRDefault="00175DC2">
      <w:pPr>
        <w:pStyle w:val="affb"/>
        <w:rPr>
          <w:rFonts w:ascii="仿宋" w:eastAsia="仿宋" w:hAnsi="仿宋" w:cs="仿宋" w:hint="eastAsia"/>
          <w:szCs w:val="21"/>
        </w:rPr>
      </w:pPr>
      <w:r w:rsidRPr="00175DC2">
        <w:rPr>
          <w:rFonts w:ascii="仿宋" w:eastAsia="仿宋" w:hAnsi="仿宋" w:cs="仿宋" w:hint="eastAsia"/>
          <w:szCs w:val="21"/>
        </w:rPr>
        <w:t>本次试验验证覆盖不同行业、不同处理规模、不同排放场景，构建了全面的验证体系。验证内容包括排放限值的可达性、处理技术的适配性、监测方法的准确性及运行管理的实用性，通过现场采样监测、工艺参数优化、数据比对分析等方式，获取了近万组有效数据。结果表明，标准规定的常规污染物与特征污</w:t>
      </w:r>
      <w:r w:rsidRPr="00175DC2">
        <w:rPr>
          <w:rFonts w:ascii="仿宋" w:eastAsia="仿宋" w:hAnsi="仿宋" w:cs="仿宋" w:hint="eastAsia"/>
          <w:szCs w:val="21"/>
        </w:rPr>
        <w:lastRenderedPageBreak/>
        <w:t>染物限值符合当前行业治理水平，未超出现有技术经济承受范围；推荐的处理工艺路线针对不同水质特征具有良好适配性，可满足各类排污单位的治理需求；监测方法与现有国家标准衔接一致，数据准确性与可靠性得到充分保障。试验验证过程中发现的个别行业特殊工况问题，已通过调整工艺参数、补充应急处理要求等方式优化完善，确保标准具备广泛适用性与实践指导价值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719B94E1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技术经济论证</w:t>
      </w:r>
    </w:p>
    <w:p w14:paraId="2BE8E6AE" w14:textId="67C3AD2E" w:rsidR="00AC4878" w:rsidRDefault="00175DC2">
      <w:pPr>
        <w:pStyle w:val="affb"/>
        <w:rPr>
          <w:rFonts w:ascii="仿宋" w:eastAsia="仿宋" w:hAnsi="仿宋" w:cs="仿宋" w:hint="eastAsia"/>
          <w:szCs w:val="21"/>
        </w:rPr>
      </w:pPr>
      <w:r w:rsidRPr="00175DC2">
        <w:rPr>
          <w:rFonts w:ascii="仿宋" w:eastAsia="仿宋" w:hAnsi="仿宋" w:cs="仿宋" w:hint="eastAsia"/>
          <w:szCs w:val="21"/>
        </w:rPr>
        <w:t>从技术层面看，本标准推荐的处理工艺均为当前成熟可靠、应用广泛的技术路线，设备供应、工程施工及运营维护体系完善，无需依赖特殊技术或稀缺设备，排污单位可通过现有技术改造或新建项目实现达标，技术可行性强。从经济层面分析，常规污染物治理的单位污水处理成本为 1.2-3.5 元 /m</w:t>
      </w:r>
      <w:r w:rsidRPr="00175DC2">
        <w:rPr>
          <w:rFonts w:ascii="Calibri" w:eastAsia="仿宋" w:hAnsi="Calibri" w:cs="Calibri"/>
          <w:szCs w:val="21"/>
        </w:rPr>
        <w:t>³</w:t>
      </w:r>
      <w:r w:rsidRPr="00175DC2">
        <w:rPr>
          <w:rFonts w:ascii="仿宋" w:eastAsia="仿宋" w:hAnsi="仿宋" w:cs="仿宋" w:hint="eastAsia"/>
          <w:szCs w:val="21"/>
        </w:rPr>
        <w:t>，特征污染物针对性处理的单位增量成本为 0.8-2.0 元 /m</w:t>
      </w:r>
      <w:r w:rsidRPr="00175DC2">
        <w:rPr>
          <w:rFonts w:ascii="Calibri" w:eastAsia="仿宋" w:hAnsi="Calibri" w:cs="Calibri"/>
          <w:szCs w:val="21"/>
        </w:rPr>
        <w:t>³</w:t>
      </w:r>
      <w:r w:rsidRPr="00175DC2">
        <w:rPr>
          <w:rFonts w:ascii="仿宋" w:eastAsia="仿宋" w:hAnsi="仿宋" w:cs="仿宋" w:hint="eastAsia"/>
          <w:szCs w:val="21"/>
        </w:rPr>
        <w:t>，处于行业平均水平；对于规模化排污单位，通过工艺优化与资源回收（如沼气利用、污泥资源化）可抵消 30%-50% 的增量成本，长期运营经济性显著。同时，标准设定的差异化排放限值与过渡期要求，为企业预留了合理的改造升级时间与成本空间，避免了短期投入过大对企业生产经营的影响，技术经济综合可行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预期的经济效益</w:t>
      </w:r>
    </w:p>
    <w:p w14:paraId="6D96D5DA" w14:textId="57CE75F1" w:rsidR="00AC4878" w:rsidRDefault="00175DC2">
      <w:pPr>
        <w:pStyle w:val="affb"/>
        <w:rPr>
          <w:rFonts w:ascii="仿宋" w:eastAsia="仿宋" w:hAnsi="仿宋" w:cs="仿宋" w:hint="eastAsia"/>
          <w:szCs w:val="21"/>
        </w:rPr>
      </w:pPr>
      <w:r w:rsidRPr="00175DC2">
        <w:rPr>
          <w:rFonts w:ascii="仿宋" w:eastAsia="仿宋" w:hAnsi="仿宋" w:cs="仿宋" w:hint="eastAsia"/>
          <w:szCs w:val="21"/>
        </w:rPr>
        <w:t>本标准实施后，将推动排污单位优化处理工艺、提升运行效率，降低污染物超标处罚风险与环保治理成本，预计行业整体污水处理能耗下降 10%-15%，药</w:t>
      </w:r>
      <w:proofErr w:type="gramStart"/>
      <w:r w:rsidRPr="00175DC2">
        <w:rPr>
          <w:rFonts w:ascii="仿宋" w:eastAsia="仿宋" w:hAnsi="仿宋" w:cs="仿宋" w:hint="eastAsia"/>
          <w:szCs w:val="21"/>
        </w:rPr>
        <w:t>耗减少</w:t>
      </w:r>
      <w:proofErr w:type="gramEnd"/>
      <w:r w:rsidRPr="00175DC2">
        <w:rPr>
          <w:rFonts w:ascii="仿宋" w:eastAsia="仿宋" w:hAnsi="仿宋" w:cs="仿宋" w:hint="eastAsia"/>
          <w:szCs w:val="21"/>
        </w:rPr>
        <w:t xml:space="preserve"> 8%-12%，单位处理成本平均降低 5%-8%。同时，标准引导下的环保技术升级将带动水处理设备制造、环保工程服务、第三方运营等相关产业发展，预计可创造数万个就业岗位；再生水回用技术的推广应用，将减少新鲜水资源取用，为缺水地区企业节省水资源费用，缓解水资源短缺压力，间接提升企业生产效益与区域经济可持续发展能力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 社会效益和生态效益</w:t>
      </w:r>
    </w:p>
    <w:p w14:paraId="62991666" w14:textId="721A749D" w:rsidR="00AC4878" w:rsidRDefault="00175DC2">
      <w:pPr>
        <w:pStyle w:val="affb"/>
        <w:rPr>
          <w:rFonts w:ascii="仿宋" w:eastAsia="仿宋" w:hAnsi="仿宋" w:cs="仿宋" w:hint="eastAsia"/>
          <w:szCs w:val="21"/>
        </w:rPr>
      </w:pPr>
      <w:r w:rsidRPr="00175DC2">
        <w:rPr>
          <w:rFonts w:ascii="仿宋" w:eastAsia="仿宋" w:hAnsi="仿宋" w:cs="仿宋" w:hint="eastAsia"/>
          <w:szCs w:val="21"/>
        </w:rPr>
        <w:t>本标准的实施将进一步规范排污单位的环境行为，提升全社会水污染治理的规范化、科学化水平，增强企业环保责任意识与公众环境参与感。通过统一排放标准与处理技术要求，可避免企业间的不公平竞争，营造绿色低碳的市场环境；污水处理设施的稳定运行与达标排放，将减少水体污染对周边居民生产生活的影响，降低水污染相关健康风险，提升公众生活质量与幸福感。此外，标准的宣贯实施将推动环保知识普及，强化全社会生态环境保护共识，为生态文明建设营造良好的社会氛围，促进人与自然和谐共生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4573DCDE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F11EA0">
        <w:rPr>
          <w:rFonts w:ascii="仿宋" w:eastAsia="仿宋" w:hAnsi="仿宋" w:cs="仿宋" w:hint="eastAsia"/>
          <w:szCs w:val="21"/>
        </w:rPr>
        <w:t>本文件规定了水体污染物排放与处理的核心要求、技术规范、监测方法及实施监督相关内容。</w:t>
      </w:r>
    </w:p>
    <w:p w14:paraId="55B1F24D" w14:textId="08ED02EC" w:rsidR="00AC4878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本文件适用于工业企业（包括化工、印染、电镀、造纸、畜禽养殖、食品加工、医药制造等行业）、城镇污水处理厂、园区集中污水处理设施的生产废水、生活污水排放控制与处理系统设计、建设、运行及验收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3959DEC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GB/T 2893.1  图形符号 安全色和安全标志 第 1 部分：安全色</w:t>
      </w:r>
    </w:p>
    <w:p w14:paraId="6DD81184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GB/T 2893.2  图形符号 安全色和安全标志 第 2 部分：安全标志</w:t>
      </w:r>
    </w:p>
    <w:p w14:paraId="1524EA4B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GB/T 2893.3  图形符号 安全色和安全标志 第 3 部分：安全标志使用原则与要求</w:t>
      </w:r>
    </w:p>
    <w:p w14:paraId="443D041B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 3838  地表水环境质量标准</w:t>
      </w:r>
    </w:p>
    <w:p w14:paraId="73D356DF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 8978  污水综合排放标准</w:t>
      </w:r>
    </w:p>
    <w:p w14:paraId="0DB8ABC4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GB/T 23485  城镇污水处理厂污泥处置 混合填埋用泥质</w:t>
      </w:r>
    </w:p>
    <w:p w14:paraId="00A23056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GB/T 24600  城镇污水处理厂污泥处置 土地改良用泥质</w:t>
      </w:r>
    </w:p>
    <w:p w14:paraId="6924F435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GB/T 24602  城镇污水处理厂污泥处置 单独焚烧用泥质</w:t>
      </w:r>
    </w:p>
    <w:p w14:paraId="49B99276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HJ/T 355  水污染源在线监测系统（</w:t>
      </w:r>
      <w:proofErr w:type="spellStart"/>
      <w:r w:rsidRPr="00F11EA0">
        <w:rPr>
          <w:rFonts w:ascii="仿宋" w:eastAsia="仿宋" w:hAnsi="仿宋" w:cs="仿宋" w:hint="eastAsia"/>
          <w:szCs w:val="21"/>
        </w:rPr>
        <w:t>CODCr</w:t>
      </w:r>
      <w:proofErr w:type="spellEnd"/>
      <w:r w:rsidRPr="00F11EA0">
        <w:rPr>
          <w:rFonts w:ascii="仿宋" w:eastAsia="仿宋" w:hAnsi="仿宋" w:cs="仿宋" w:hint="eastAsia"/>
          <w:szCs w:val="21"/>
        </w:rPr>
        <w:t>、NH3-N 等）运行技术规范</w:t>
      </w:r>
    </w:p>
    <w:p w14:paraId="6F348BCF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HJ/T 356  水污染源在线监测系统（</w:t>
      </w:r>
      <w:proofErr w:type="spellStart"/>
      <w:r w:rsidRPr="00F11EA0">
        <w:rPr>
          <w:rFonts w:ascii="仿宋" w:eastAsia="仿宋" w:hAnsi="仿宋" w:cs="仿宋" w:hint="eastAsia"/>
          <w:szCs w:val="21"/>
        </w:rPr>
        <w:t>CODCr</w:t>
      </w:r>
      <w:proofErr w:type="spellEnd"/>
      <w:r w:rsidRPr="00F11EA0">
        <w:rPr>
          <w:rFonts w:ascii="仿宋" w:eastAsia="仿宋" w:hAnsi="仿宋" w:cs="仿宋" w:hint="eastAsia"/>
          <w:szCs w:val="21"/>
        </w:rPr>
        <w:t>、NH3-N 等）数据有效性判别技术规范</w:t>
      </w:r>
    </w:p>
    <w:p w14:paraId="4DE48753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lastRenderedPageBreak/>
        <w:t>HJ 484  水质 氰化物的测定 容量法和分光光度法</w:t>
      </w:r>
    </w:p>
    <w:p w14:paraId="53285032" w14:textId="77777777" w:rsidR="00F11EA0" w:rsidRPr="00F11EA0" w:rsidRDefault="00F11EA0" w:rsidP="00F11EA0">
      <w:pPr>
        <w:pStyle w:val="affb"/>
        <w:rPr>
          <w:rFonts w:ascii="仿宋" w:eastAsia="仿宋" w:hAnsi="仿宋" w:cs="仿宋"/>
          <w:szCs w:val="21"/>
        </w:rPr>
      </w:pPr>
      <w:r w:rsidRPr="00F11EA0">
        <w:rPr>
          <w:rFonts w:ascii="仿宋" w:eastAsia="仿宋" w:hAnsi="仿宋" w:cs="仿宋"/>
          <w:szCs w:val="21"/>
        </w:rPr>
        <w:t xml:space="preserve">HJ 505  </w:t>
      </w:r>
      <w:r w:rsidRPr="00F11EA0">
        <w:rPr>
          <w:rFonts w:ascii="仿宋" w:eastAsia="仿宋" w:hAnsi="仿宋" w:cs="仿宋" w:hint="eastAsia"/>
          <w:szCs w:val="21"/>
        </w:rPr>
        <w:t>水质</w:t>
      </w:r>
      <w:r w:rsidRPr="00F11EA0">
        <w:rPr>
          <w:rFonts w:ascii="仿宋" w:eastAsia="仿宋" w:hAnsi="仿宋" w:cs="仿宋"/>
          <w:szCs w:val="21"/>
        </w:rPr>
        <w:t xml:space="preserve"> </w:t>
      </w:r>
      <w:r w:rsidRPr="00F11EA0">
        <w:rPr>
          <w:rFonts w:ascii="仿宋" w:eastAsia="仿宋" w:hAnsi="仿宋" w:cs="仿宋" w:hint="eastAsia"/>
          <w:szCs w:val="21"/>
        </w:rPr>
        <w:t>五日生化需氧量（</w:t>
      </w:r>
      <w:r w:rsidRPr="00F11EA0">
        <w:rPr>
          <w:rFonts w:ascii="仿宋" w:eastAsia="仿宋" w:hAnsi="仿宋" w:cs="仿宋"/>
          <w:szCs w:val="21"/>
        </w:rPr>
        <w:t>BOD</w:t>
      </w:r>
      <w:r w:rsidRPr="00F11EA0">
        <w:rPr>
          <w:rFonts w:ascii="Cambria Math" w:eastAsia="仿宋" w:hAnsi="Cambria Math" w:cs="Cambria Math"/>
          <w:szCs w:val="21"/>
        </w:rPr>
        <w:t>₅</w:t>
      </w:r>
      <w:r w:rsidRPr="00F11EA0">
        <w:rPr>
          <w:rFonts w:ascii="仿宋" w:eastAsia="仿宋" w:hAnsi="仿宋" w:cs="仿宋" w:hint="eastAsia"/>
          <w:szCs w:val="21"/>
        </w:rPr>
        <w:t>）的测定</w:t>
      </w:r>
      <w:r w:rsidRPr="00F11EA0">
        <w:rPr>
          <w:rFonts w:ascii="仿宋" w:eastAsia="仿宋" w:hAnsi="仿宋" w:cs="仿宋"/>
          <w:szCs w:val="21"/>
        </w:rPr>
        <w:t xml:space="preserve"> </w:t>
      </w:r>
      <w:r w:rsidRPr="00F11EA0">
        <w:rPr>
          <w:rFonts w:ascii="仿宋" w:eastAsia="仿宋" w:hAnsi="仿宋" w:cs="仿宋" w:hint="eastAsia"/>
          <w:szCs w:val="21"/>
        </w:rPr>
        <w:t>稀释与接种法</w:t>
      </w:r>
    </w:p>
    <w:p w14:paraId="4C996E39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535  水质 氨氮的测定 纳氏试剂分光光度法</w:t>
      </w:r>
    </w:p>
    <w:p w14:paraId="3526554D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584  水质 苯系物的测定 气相色谱法</w:t>
      </w:r>
    </w:p>
    <w:p w14:paraId="1AA34796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636  水质 总氮的测定 碱性过硫酸钾消解紫外分光光度法</w:t>
      </w:r>
    </w:p>
    <w:p w14:paraId="04FE0C74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637  水质 石油类和动植物油类的测定 红外分光光度法</w:t>
      </w:r>
    </w:p>
    <w:p w14:paraId="21307225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686  水质 挥发性有机物的测定 吹扫捕集 / 气相色谱 - 质谱法</w:t>
      </w:r>
    </w:p>
    <w:p w14:paraId="5A97AB2A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688  水质 酚类化合物的测定 气相色谱法</w:t>
      </w:r>
    </w:p>
    <w:p w14:paraId="078E4D2B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693  水质 总磷的测定 钼酸铵分光光度法</w:t>
      </w:r>
    </w:p>
    <w:p w14:paraId="7933151A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700  水质 65 种元素的测定 电感耦合等离子体质谱法</w:t>
      </w:r>
    </w:p>
    <w:p w14:paraId="37BD8646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 xml:space="preserve">HJ 755  水质 </w:t>
      </w:r>
      <w:proofErr w:type="gramStart"/>
      <w:r w:rsidRPr="00F11EA0">
        <w:rPr>
          <w:rFonts w:ascii="仿宋" w:eastAsia="仿宋" w:hAnsi="仿宋" w:cs="仿宋" w:hint="eastAsia"/>
          <w:szCs w:val="21"/>
        </w:rPr>
        <w:t>总铬的</w:t>
      </w:r>
      <w:proofErr w:type="gramEnd"/>
      <w:r w:rsidRPr="00F11EA0">
        <w:rPr>
          <w:rFonts w:ascii="仿宋" w:eastAsia="仿宋" w:hAnsi="仿宋" w:cs="仿宋" w:hint="eastAsia"/>
          <w:szCs w:val="21"/>
        </w:rPr>
        <w:t>测定 流动注射 - 二</w:t>
      </w:r>
      <w:proofErr w:type="gramStart"/>
      <w:r w:rsidRPr="00F11EA0">
        <w:rPr>
          <w:rFonts w:ascii="仿宋" w:eastAsia="仿宋" w:hAnsi="仿宋" w:cs="仿宋" w:hint="eastAsia"/>
          <w:szCs w:val="21"/>
        </w:rPr>
        <w:t>苯碳酰二肼</w:t>
      </w:r>
      <w:proofErr w:type="gramEnd"/>
      <w:r w:rsidRPr="00F11EA0">
        <w:rPr>
          <w:rFonts w:ascii="仿宋" w:eastAsia="仿宋" w:hAnsi="仿宋" w:cs="仿宋" w:hint="eastAsia"/>
          <w:szCs w:val="21"/>
        </w:rPr>
        <w:t>分光光度法</w:t>
      </w:r>
    </w:p>
    <w:p w14:paraId="7CD500C5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756  水质 六价铬的测定 流动注射 - 二</w:t>
      </w:r>
      <w:proofErr w:type="gramStart"/>
      <w:r w:rsidRPr="00F11EA0">
        <w:rPr>
          <w:rFonts w:ascii="仿宋" w:eastAsia="仿宋" w:hAnsi="仿宋" w:cs="仿宋" w:hint="eastAsia"/>
          <w:szCs w:val="21"/>
        </w:rPr>
        <w:t>苯碳酰二肼</w:t>
      </w:r>
      <w:proofErr w:type="gramEnd"/>
      <w:r w:rsidRPr="00F11EA0">
        <w:rPr>
          <w:rFonts w:ascii="仿宋" w:eastAsia="仿宋" w:hAnsi="仿宋" w:cs="仿宋" w:hint="eastAsia"/>
          <w:szCs w:val="21"/>
        </w:rPr>
        <w:t>分光光度法</w:t>
      </w:r>
    </w:p>
    <w:p w14:paraId="128B8180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822  水质 苯胺类化合物的测定 气相色谱 - 质谱法</w:t>
      </w:r>
    </w:p>
    <w:p w14:paraId="0CF3CFC3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828  水质 化学需氧量的测定 重铬酸盐法</w:t>
      </w:r>
    </w:p>
    <w:p w14:paraId="00763187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834  水质 半挥发性有机物的测定 固相萃取 / 气相色谱 - 质谱法</w:t>
      </w:r>
    </w:p>
    <w:p w14:paraId="5156B8AC" w14:textId="77777777" w:rsidR="00F11EA0" w:rsidRPr="00F11EA0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1000  水质 悬浮物的测定 重量法</w:t>
      </w:r>
    </w:p>
    <w:p w14:paraId="6EC9F942" w14:textId="5E264CEB" w:rsidR="00AC4878" w:rsidRPr="0023380B" w:rsidRDefault="00F11EA0" w:rsidP="00F11EA0">
      <w:pPr>
        <w:pStyle w:val="affb"/>
        <w:rPr>
          <w:rFonts w:ascii="仿宋" w:eastAsia="仿宋" w:hAnsi="仿宋" w:cs="仿宋" w:hint="eastAsia"/>
          <w:szCs w:val="21"/>
        </w:rPr>
      </w:pPr>
      <w:r w:rsidRPr="00F11EA0">
        <w:rPr>
          <w:rFonts w:ascii="仿宋" w:eastAsia="仿宋" w:hAnsi="仿宋" w:cs="仿宋" w:hint="eastAsia"/>
          <w:szCs w:val="21"/>
        </w:rPr>
        <w:t>HJ 1053  水质 阴离子表面活性剂的测定 流动注射 - 亚甲基蓝分光光度法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031C6FA3" w:rsidR="00AC4878" w:rsidRDefault="00000000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明确了</w:t>
      </w:r>
      <w:r w:rsidR="00F11EA0">
        <w:rPr>
          <w:rFonts w:ascii="仿宋" w:eastAsia="仿宋" w:hAnsi="仿宋" w:cs="仿宋" w:hint="eastAsia"/>
          <w:szCs w:val="21"/>
        </w:rPr>
        <w:t>排放限值、处理技术、预处理单元</w:t>
      </w:r>
      <w:r>
        <w:rPr>
          <w:rFonts w:ascii="仿宋" w:eastAsia="仿宋" w:hAnsi="仿宋" w:cs="仿宋" w:hint="eastAsia"/>
          <w:szCs w:val="21"/>
        </w:rPr>
        <w:t>的术语定义。</w:t>
      </w:r>
    </w:p>
    <w:p w14:paraId="1E1C8095" w14:textId="77777777" w:rsidR="00E44949" w:rsidRPr="00E44949" w:rsidRDefault="00E44949" w:rsidP="00E4494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E44949">
        <w:rPr>
          <w:rFonts w:ascii="仿宋" w:eastAsia="仿宋" w:hAnsi="仿宋" w:cs="仿宋"/>
          <w:b/>
          <w:bCs/>
          <w:szCs w:val="21"/>
        </w:rPr>
        <w:t>4. 排放规范要求</w:t>
      </w:r>
    </w:p>
    <w:p w14:paraId="467D95B1" w14:textId="77777777" w:rsidR="00E44949" w:rsidRPr="00E44949" w:rsidRDefault="00E44949" w:rsidP="00E44949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4949">
        <w:rPr>
          <w:rFonts w:ascii="仿宋" w:eastAsia="仿宋" w:hAnsi="仿宋" w:cs="仿宋"/>
          <w:szCs w:val="21"/>
        </w:rPr>
        <w:t>包括了常规污染物与特征污染物的控制指标分类、不同排放去向的排放限值，以及排放口设置、排放方式、应急排放的各项要求。</w:t>
      </w:r>
    </w:p>
    <w:p w14:paraId="5AE47EAA" w14:textId="77777777" w:rsidR="00E44949" w:rsidRPr="00E44949" w:rsidRDefault="00E44949" w:rsidP="00E4494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E44949">
        <w:rPr>
          <w:rFonts w:ascii="仿宋" w:eastAsia="仿宋" w:hAnsi="仿宋" w:cs="仿宋"/>
          <w:b/>
          <w:bCs/>
          <w:szCs w:val="21"/>
        </w:rPr>
        <w:t>5. 处理技术规范要求</w:t>
      </w:r>
    </w:p>
    <w:p w14:paraId="0ADC3805" w14:textId="77777777" w:rsidR="00E44949" w:rsidRPr="00E44949" w:rsidRDefault="00E44949" w:rsidP="00E44949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4949">
        <w:rPr>
          <w:rFonts w:ascii="仿宋" w:eastAsia="仿宋" w:hAnsi="仿宋" w:cs="仿宋"/>
          <w:szCs w:val="21"/>
        </w:rPr>
        <w:t>包括了处理工艺选择原则、预处理单元、主体处理单元、深度处理单元及污泥处理处置的技术参数，以及运行管理、设备维护、应急处理的各项要求。</w:t>
      </w:r>
    </w:p>
    <w:p w14:paraId="3D5DDFC0" w14:textId="77777777" w:rsidR="00E44949" w:rsidRPr="00E44949" w:rsidRDefault="00E44949" w:rsidP="00E4494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E44949">
        <w:rPr>
          <w:rFonts w:ascii="仿宋" w:eastAsia="仿宋" w:hAnsi="仿宋" w:cs="仿宋"/>
          <w:b/>
          <w:bCs/>
          <w:szCs w:val="21"/>
        </w:rPr>
        <w:t>6. 监测要求</w:t>
      </w:r>
    </w:p>
    <w:p w14:paraId="555D8A9C" w14:textId="77777777" w:rsidR="00E44949" w:rsidRPr="00E44949" w:rsidRDefault="00E44949" w:rsidP="00E44949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4949">
        <w:rPr>
          <w:rFonts w:ascii="仿宋" w:eastAsia="仿宋" w:hAnsi="仿宋" w:cs="仿宋"/>
          <w:szCs w:val="21"/>
        </w:rPr>
        <w:t>包括了常规污染物与特征污染物的监测项目、监测频率、监测方法，以及数据记录、异常数据处理、监测报告编制与提交的各项要求。</w:t>
      </w:r>
    </w:p>
    <w:p w14:paraId="009B75EA" w14:textId="77777777" w:rsidR="00E44949" w:rsidRPr="00E44949" w:rsidRDefault="00E44949" w:rsidP="00E44949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E44949">
        <w:rPr>
          <w:rFonts w:ascii="仿宋" w:eastAsia="仿宋" w:hAnsi="仿宋" w:cs="仿宋"/>
          <w:b/>
          <w:bCs/>
          <w:szCs w:val="21"/>
        </w:rPr>
        <w:t>7. 实施与监督</w:t>
      </w:r>
    </w:p>
    <w:p w14:paraId="6707536B" w14:textId="77777777" w:rsidR="00E44949" w:rsidRPr="00E44949" w:rsidRDefault="00E44949" w:rsidP="00E44949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E44949">
        <w:rPr>
          <w:rFonts w:ascii="仿宋" w:eastAsia="仿宋" w:hAnsi="仿宋" w:cs="仿宋"/>
          <w:szCs w:val="21"/>
        </w:rPr>
        <w:t>包括了标准实施时间、过渡期要求、排污单位与第三</w:t>
      </w:r>
      <w:proofErr w:type="gramStart"/>
      <w:r w:rsidRPr="00E44949">
        <w:rPr>
          <w:rFonts w:ascii="仿宋" w:eastAsia="仿宋" w:hAnsi="仿宋" w:cs="仿宋"/>
          <w:szCs w:val="21"/>
        </w:rPr>
        <w:t>方治理</w:t>
      </w:r>
      <w:proofErr w:type="gramEnd"/>
      <w:r w:rsidRPr="00E44949">
        <w:rPr>
          <w:rFonts w:ascii="仿宋" w:eastAsia="仿宋" w:hAnsi="仿宋" w:cs="仿宋"/>
          <w:szCs w:val="21"/>
        </w:rPr>
        <w:t>单位的责任划分，以及监督检查主体、检查内容、不合格处理的各项要求。</w:t>
      </w:r>
    </w:p>
    <w:p w14:paraId="2545AB1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lastRenderedPageBreak/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5EE5" w14:textId="77777777" w:rsidR="00DA6A40" w:rsidRDefault="00DA6A40">
      <w:r>
        <w:separator/>
      </w:r>
    </w:p>
  </w:endnote>
  <w:endnote w:type="continuationSeparator" w:id="0">
    <w:p w14:paraId="114AF85D" w14:textId="77777777" w:rsidR="00DA6A40" w:rsidRDefault="00DA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40F1" w14:textId="77777777" w:rsidR="00DA6A40" w:rsidRDefault="00DA6A40">
      <w:r>
        <w:separator/>
      </w:r>
    </w:p>
  </w:footnote>
  <w:footnote w:type="continuationSeparator" w:id="0">
    <w:p w14:paraId="7D1E5714" w14:textId="77777777" w:rsidR="00DA6A40" w:rsidRDefault="00DA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25DE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1DD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5DC2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0DE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6A4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4949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1EA0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5</Pages>
  <Words>2130</Words>
  <Characters>2791</Characters>
  <Application>Microsoft Office Word</Application>
  <DocSecurity>0</DocSecurity>
  <Lines>90</Lines>
  <Paragraphs>98</Paragraphs>
  <ScaleCrop>false</ScaleCrop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