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13</w:t>
      </w:r>
      <w:r>
        <w:rPr>
          <w:rFonts w:hint="eastAsia" w:ascii="黑体" w:hAnsi="黑体" w:eastAsia="黑体" w:cs="黑体"/>
          <w:szCs w:val="22"/>
        </w:rPr>
        <w:t>.</w:t>
      </w:r>
      <w:r>
        <w:rPr>
          <w:rFonts w:hint="eastAsia" w:ascii="黑体" w:hAnsi="黑体" w:eastAsia="黑体" w:cs="黑体"/>
          <w:szCs w:val="22"/>
          <w:lang w:val="en-US" w:eastAsia="zh-CN"/>
        </w:rPr>
        <w:t>03</w:t>
      </w:r>
      <w:r>
        <w:rPr>
          <w:rFonts w:hint="eastAsia" w:ascii="黑体" w:hAnsi="黑体" w:eastAsia="黑体" w:cs="黑体"/>
          <w:szCs w:val="22"/>
        </w:rPr>
        <w:t>0</w:t>
      </w:r>
      <w:r>
        <w:rPr>
          <w:rFonts w:hint="eastAsia" w:ascii="黑体" w:hAnsi="黑体" w:eastAsia="黑体" w:cs="黑体"/>
          <w:szCs w:val="22"/>
          <w:lang w:val="en-US" w:eastAsia="zh-CN"/>
        </w:rPr>
        <w:t>.04</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P</w:t>
      </w:r>
      <w:r>
        <w:rPr>
          <w:rFonts w:hint="eastAsia" w:ascii="黑体" w:hAnsi="黑体" w:eastAsia="黑体" w:cs="黑体"/>
          <w:szCs w:val="22"/>
        </w:rPr>
        <w:t xml:space="preserve"> </w:t>
      </w:r>
      <w:r>
        <w:rPr>
          <w:rFonts w:hint="eastAsia" w:ascii="黑体" w:hAnsi="黑体" w:eastAsia="黑体" w:cs="黑体"/>
          <w:szCs w:val="22"/>
          <w:lang w:val="en-US" w:eastAsia="zh-CN"/>
        </w:rPr>
        <w:t>53</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2"/>
                    <a:stretch>
                      <a:fillRect/>
                    </a:stretch>
                  </pic:blipFill>
                  <pic:spPr>
                    <a:xfrm>
                      <a:off x="0" y="0"/>
                      <a:ext cx="5525770" cy="10795"/>
                    </a:xfrm>
                    <a:prstGeom prst="rect">
                      <a:avLst/>
                    </a:prstGeom>
                    <a:noFill/>
                    <a:ln>
                      <a:noFill/>
                    </a:ln>
                  </pic:spPr>
                </pic:pic>
              </a:graphicData>
            </a:graphic>
          </wp:inline>
        </w:drawing>
      </w:r>
    </w:p>
    <w:p w14:paraId="6D94EED4">
      <w:pPr>
        <w:spacing w:line="360" w:lineRule="auto"/>
        <w:jc w:val="both"/>
        <w:rPr>
          <w:rFonts w:ascii="Times New Roman" w:hAnsi="Times New Roman" w:eastAsia="黑体" w:cs="Times New Roman"/>
          <w:sz w:val="52"/>
          <w:szCs w:val="52"/>
        </w:rPr>
      </w:pPr>
    </w:p>
    <w:p w14:paraId="4B670A41">
      <w:pPr>
        <w:spacing w:line="360" w:lineRule="auto"/>
        <w:jc w:val="center"/>
        <w:rPr>
          <w:rFonts w:hint="eastAsia" w:ascii="Times New Roman" w:hAnsi="Times New Roman" w:eastAsia="黑体" w:cs="Times New Roman"/>
          <w:sz w:val="52"/>
          <w:szCs w:val="52"/>
          <w:lang w:val="en-US" w:eastAsia="zh-CN"/>
        </w:rPr>
      </w:pPr>
    </w:p>
    <w:p w14:paraId="2DCD5AF2">
      <w:pPr>
        <w:spacing w:line="360" w:lineRule="auto"/>
        <w:jc w:val="center"/>
        <w:rPr>
          <w:rFonts w:hint="eastAsia" w:ascii="Times New Roman" w:hAnsi="Times New Roman" w:eastAsia="黑体" w:cs="Times New Roman"/>
          <w:sz w:val="52"/>
          <w:szCs w:val="52"/>
          <w:lang w:val="en-US" w:eastAsia="zh-CN"/>
        </w:rPr>
      </w:pPr>
    </w:p>
    <w:p w14:paraId="20C056D8">
      <w:pPr>
        <w:spacing w:line="360" w:lineRule="auto"/>
        <w:jc w:val="center"/>
        <w:rPr>
          <w:rFonts w:hint="default" w:ascii="Times New Roman" w:hAnsi="Times New Roman" w:eastAsia="黑体" w:cs="Times New Roman"/>
          <w:sz w:val="52"/>
          <w:szCs w:val="52"/>
          <w:lang w:val="en-US" w:eastAsia="zh-CN"/>
        </w:rPr>
      </w:pPr>
      <w:bookmarkStart w:id="70" w:name="_GoBack"/>
      <w:r>
        <w:rPr>
          <w:rFonts w:hint="eastAsia" w:ascii="Times New Roman" w:hAnsi="Times New Roman" w:eastAsia="黑体" w:cs="Times New Roman"/>
          <w:sz w:val="52"/>
          <w:szCs w:val="52"/>
          <w:lang w:val="en-US" w:eastAsia="zh-CN"/>
        </w:rPr>
        <w:t>建筑垃圾循环再利用技术规范</w:t>
      </w:r>
    </w:p>
    <w:bookmarkEnd w:id="70"/>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Technical specification for recycling construction waste</w:t>
      </w:r>
    </w:p>
    <w:p w14:paraId="1FA72F73">
      <w:pPr>
        <w:spacing w:line="360" w:lineRule="auto"/>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（征求意见稿）</w:t>
      </w:r>
    </w:p>
    <w:p w14:paraId="5ECA8331">
      <w:pPr>
        <w:spacing w:line="360" w:lineRule="auto"/>
        <w:jc w:val="both"/>
        <w:rPr>
          <w:rFonts w:ascii="Times New Roman" w:hAnsi="Times New Roman" w:eastAsia="宋体" w:cs="Times New Roman"/>
          <w:szCs w:val="22"/>
        </w:rPr>
      </w:pPr>
    </w:p>
    <w:p w14:paraId="2EC7DA65">
      <w:pPr>
        <w:spacing w:line="360" w:lineRule="auto"/>
        <w:rPr>
          <w:rFonts w:ascii="Times New Roman" w:hAnsi="Times New Roman" w:eastAsia="宋体" w:cs="Times New Roman"/>
          <w:szCs w:val="22"/>
        </w:rPr>
      </w:pP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59264;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034B4C16">
      <w:pPr>
        <w:pStyle w:val="94"/>
        <w:bidi w:val="0"/>
        <w:rPr>
          <w:rFonts w:hint="eastAsia"/>
          <w:lang w:eastAsia="zh-CN"/>
        </w:rPr>
      </w:pPr>
      <w:bookmarkStart w:id="0" w:name="BookMark1"/>
      <w:r>
        <w:rPr>
          <w:rFonts w:hint="eastAsia"/>
          <w:spacing w:val="318"/>
          <w:lang w:eastAsia="zh-CN"/>
        </w:rPr>
        <w:t>目</w:t>
      </w:r>
      <w:r>
        <w:rPr>
          <w:rFonts w:hint="eastAsia"/>
          <w:lang w:eastAsia="zh-CN"/>
        </w:rPr>
        <w:t>次</w:t>
      </w:r>
    </w:p>
    <w:p w14:paraId="42BD3C0D">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"1-1"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_Toc27740 </w:instrText>
      </w:r>
      <w:r>
        <w:rPr>
          <w:rFonts w:hint="eastAsia" w:ascii="宋体" w:hAnsi="宋体" w:eastAsia="宋体" w:cs="宋体"/>
          <w:spacing w:val="0"/>
          <w:lang w:eastAsia="zh-CN"/>
        </w:rPr>
        <w:fldChar w:fldCharType="separate"/>
      </w:r>
      <w:r>
        <w:rPr>
          <w:rFonts w:hint="eastAsia"/>
          <w:lang w:eastAsia="zh-CN"/>
        </w:rPr>
        <w:t>前</w:t>
      </w:r>
      <w:r>
        <w:t>言</w:t>
      </w:r>
      <w:r>
        <w:tab/>
      </w:r>
      <w:r>
        <w:fldChar w:fldCharType="begin"/>
      </w:r>
      <w:r>
        <w:instrText xml:space="preserve"> PAGEREF _Toc27740 \h </w:instrText>
      </w:r>
      <w:r>
        <w:fldChar w:fldCharType="separate"/>
      </w:r>
      <w:r>
        <w:t>II</w:t>
      </w:r>
      <w:r>
        <w:fldChar w:fldCharType="end"/>
      </w:r>
      <w:r>
        <w:rPr>
          <w:rFonts w:hint="eastAsia" w:ascii="宋体" w:hAnsi="宋体" w:eastAsia="宋体" w:cs="宋体"/>
          <w:spacing w:val="0"/>
          <w:lang w:eastAsia="zh-CN"/>
        </w:rPr>
        <w:fldChar w:fldCharType="end"/>
      </w:r>
    </w:p>
    <w:p w14:paraId="63558FBA">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_Toc27174 </w:instrText>
      </w:r>
      <w:r>
        <w:rPr>
          <w:rFonts w:hint="eastAsia" w:ascii="宋体" w:hAnsi="宋体" w:eastAsia="宋体" w:cs="宋体"/>
          <w:spacing w:val="0"/>
          <w:lang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_Toc27174 \h </w:instrText>
      </w:r>
      <w:r>
        <w:fldChar w:fldCharType="separate"/>
      </w:r>
      <w:r>
        <w:t>3</w:t>
      </w:r>
      <w:r>
        <w:fldChar w:fldCharType="end"/>
      </w:r>
      <w:r>
        <w:rPr>
          <w:rFonts w:hint="eastAsia" w:ascii="宋体" w:hAnsi="宋体" w:eastAsia="宋体" w:cs="宋体"/>
          <w:spacing w:val="0"/>
          <w:lang w:eastAsia="zh-CN"/>
        </w:rPr>
        <w:fldChar w:fldCharType="end"/>
      </w:r>
    </w:p>
    <w:p w14:paraId="7C783911">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_Toc4308 </w:instrText>
      </w:r>
      <w:r>
        <w:rPr>
          <w:rFonts w:hint="eastAsia" w:ascii="宋体" w:hAnsi="宋体" w:eastAsia="宋体" w:cs="宋体"/>
          <w:spacing w:val="0"/>
          <w:lang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_Toc4308 \h </w:instrText>
      </w:r>
      <w:r>
        <w:fldChar w:fldCharType="separate"/>
      </w:r>
      <w:r>
        <w:t>3</w:t>
      </w:r>
      <w:r>
        <w:fldChar w:fldCharType="end"/>
      </w:r>
      <w:r>
        <w:rPr>
          <w:rFonts w:hint="eastAsia" w:ascii="宋体" w:hAnsi="宋体" w:eastAsia="宋体" w:cs="宋体"/>
          <w:spacing w:val="0"/>
          <w:lang w:eastAsia="zh-CN"/>
        </w:rPr>
        <w:fldChar w:fldCharType="end"/>
      </w:r>
    </w:p>
    <w:p w14:paraId="48AC4431">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_Toc28445 </w:instrText>
      </w:r>
      <w:r>
        <w:rPr>
          <w:rFonts w:hint="eastAsia" w:ascii="宋体" w:hAnsi="宋体" w:eastAsia="宋体" w:cs="宋体"/>
          <w:spacing w:val="0"/>
          <w:lang w:eastAsia="zh-CN"/>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_Toc28445 \h </w:instrText>
      </w:r>
      <w:r>
        <w:fldChar w:fldCharType="separate"/>
      </w:r>
      <w:r>
        <w:t>4</w:t>
      </w:r>
      <w:r>
        <w:fldChar w:fldCharType="end"/>
      </w:r>
      <w:r>
        <w:rPr>
          <w:rFonts w:hint="eastAsia" w:ascii="宋体" w:hAnsi="宋体" w:eastAsia="宋体" w:cs="宋体"/>
          <w:spacing w:val="0"/>
          <w:lang w:eastAsia="zh-CN"/>
        </w:rPr>
        <w:fldChar w:fldCharType="end"/>
      </w:r>
    </w:p>
    <w:p w14:paraId="238FCFC6">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_Toc1530 </w:instrText>
      </w:r>
      <w:r>
        <w:rPr>
          <w:rFonts w:hint="eastAsia" w:ascii="宋体" w:hAnsi="宋体" w:eastAsia="宋体" w:cs="宋体"/>
          <w:spacing w:val="0"/>
          <w:lang w:eastAsia="zh-CN"/>
        </w:rPr>
        <w:fldChar w:fldCharType="separate"/>
      </w:r>
      <w:r>
        <w:rPr>
          <w:rFonts w:hint="eastAsia" w:ascii="黑体" w:eastAsia="黑体"/>
          <w:i w:val="0"/>
        </w:rPr>
        <w:t xml:space="preserve">4 </w:t>
      </w:r>
      <w:r>
        <w:rPr>
          <w:rFonts w:hint="eastAsia"/>
        </w:rPr>
        <w:t>项目建设要求</w:t>
      </w:r>
      <w:r>
        <w:tab/>
      </w:r>
      <w:r>
        <w:fldChar w:fldCharType="begin"/>
      </w:r>
      <w:r>
        <w:instrText xml:space="preserve"> PAGEREF _Toc1530 \h </w:instrText>
      </w:r>
      <w:r>
        <w:fldChar w:fldCharType="separate"/>
      </w:r>
      <w:r>
        <w:t>4</w:t>
      </w:r>
      <w:r>
        <w:fldChar w:fldCharType="end"/>
      </w:r>
      <w:r>
        <w:rPr>
          <w:rFonts w:hint="eastAsia" w:ascii="宋体" w:hAnsi="宋体" w:eastAsia="宋体" w:cs="宋体"/>
          <w:spacing w:val="0"/>
          <w:lang w:eastAsia="zh-CN"/>
        </w:rPr>
        <w:fldChar w:fldCharType="end"/>
      </w:r>
    </w:p>
    <w:p w14:paraId="626B2953">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_Toc29225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5 </w:t>
      </w:r>
      <w:r>
        <w:rPr>
          <w:rFonts w:hint="eastAsia"/>
          <w:lang w:val="en-US" w:eastAsia="zh-CN"/>
        </w:rPr>
        <w:t>生产工艺与技术设备</w:t>
      </w:r>
      <w:r>
        <w:tab/>
      </w:r>
      <w:r>
        <w:fldChar w:fldCharType="begin"/>
      </w:r>
      <w:r>
        <w:instrText xml:space="preserve"> PAGEREF _Toc29225 \h </w:instrText>
      </w:r>
      <w:r>
        <w:fldChar w:fldCharType="separate"/>
      </w:r>
      <w:r>
        <w:t>5</w:t>
      </w:r>
      <w:r>
        <w:fldChar w:fldCharType="end"/>
      </w:r>
      <w:r>
        <w:rPr>
          <w:rFonts w:hint="eastAsia" w:ascii="宋体" w:hAnsi="宋体" w:eastAsia="宋体" w:cs="宋体"/>
          <w:spacing w:val="0"/>
          <w:lang w:eastAsia="zh-CN"/>
        </w:rPr>
        <w:fldChar w:fldCharType="end"/>
      </w:r>
    </w:p>
    <w:p w14:paraId="4356408C">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_Toc2427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6 </w:t>
      </w:r>
      <w:r>
        <w:rPr>
          <w:rFonts w:hint="eastAsia"/>
          <w:lang w:val="en-US" w:eastAsia="zh-CN"/>
        </w:rPr>
        <w:t>绿色节能与低碳环保要求</w:t>
      </w:r>
      <w:r>
        <w:tab/>
      </w:r>
      <w:r>
        <w:fldChar w:fldCharType="begin"/>
      </w:r>
      <w:r>
        <w:instrText xml:space="preserve"> PAGEREF _Toc2427 \h </w:instrText>
      </w:r>
      <w:r>
        <w:fldChar w:fldCharType="separate"/>
      </w:r>
      <w:r>
        <w:t>6</w:t>
      </w:r>
      <w:r>
        <w:fldChar w:fldCharType="end"/>
      </w:r>
      <w:r>
        <w:rPr>
          <w:rFonts w:hint="eastAsia" w:ascii="宋体" w:hAnsi="宋体" w:eastAsia="宋体" w:cs="宋体"/>
          <w:spacing w:val="0"/>
          <w:lang w:eastAsia="zh-CN"/>
        </w:rPr>
        <w:fldChar w:fldCharType="end"/>
      </w:r>
    </w:p>
    <w:p w14:paraId="2B12DB56">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_Toc9560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7 </w:t>
      </w:r>
      <w:r>
        <w:rPr>
          <w:rFonts w:hint="eastAsia"/>
          <w:lang w:val="en-US" w:eastAsia="zh-CN"/>
        </w:rPr>
        <w:t>安全生产</w:t>
      </w:r>
      <w:r>
        <w:tab/>
      </w:r>
      <w:r>
        <w:fldChar w:fldCharType="begin"/>
      </w:r>
      <w:r>
        <w:instrText xml:space="preserve"> PAGEREF _Toc9560 \h </w:instrText>
      </w:r>
      <w:r>
        <w:fldChar w:fldCharType="separate"/>
      </w:r>
      <w:r>
        <w:t>6</w:t>
      </w:r>
      <w:r>
        <w:fldChar w:fldCharType="end"/>
      </w:r>
      <w:r>
        <w:rPr>
          <w:rFonts w:hint="eastAsia" w:ascii="宋体" w:hAnsi="宋体" w:eastAsia="宋体" w:cs="宋体"/>
          <w:spacing w:val="0"/>
          <w:lang w:eastAsia="zh-CN"/>
        </w:rPr>
        <w:fldChar w:fldCharType="end"/>
      </w:r>
    </w:p>
    <w:p w14:paraId="04F5554B">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_Toc3059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8 </w:t>
      </w:r>
      <w:r>
        <w:rPr>
          <w:rFonts w:hint="eastAsia"/>
          <w:lang w:val="en-US" w:eastAsia="zh-CN"/>
        </w:rPr>
        <w:t>职业健康防护</w:t>
      </w:r>
      <w:r>
        <w:tab/>
      </w:r>
      <w:r>
        <w:fldChar w:fldCharType="begin"/>
      </w:r>
      <w:r>
        <w:instrText xml:space="preserve"> PAGEREF _Toc3059 \h </w:instrText>
      </w:r>
      <w:r>
        <w:fldChar w:fldCharType="separate"/>
      </w:r>
      <w:r>
        <w:t>6</w:t>
      </w:r>
      <w:r>
        <w:fldChar w:fldCharType="end"/>
      </w:r>
      <w:r>
        <w:rPr>
          <w:rFonts w:hint="eastAsia" w:ascii="宋体" w:hAnsi="宋体" w:eastAsia="宋体" w:cs="宋体"/>
          <w:spacing w:val="0"/>
          <w:lang w:eastAsia="zh-CN"/>
        </w:rPr>
        <w:fldChar w:fldCharType="end"/>
      </w:r>
    </w:p>
    <w:p w14:paraId="2F799C21">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_Toc19065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9 </w:t>
      </w:r>
      <w:r>
        <w:rPr>
          <w:rFonts w:hint="eastAsia"/>
          <w:lang w:val="en-US" w:eastAsia="zh-CN"/>
        </w:rPr>
        <w:t>再生产品性能要求</w:t>
      </w:r>
      <w:r>
        <w:tab/>
      </w:r>
      <w:r>
        <w:fldChar w:fldCharType="begin"/>
      </w:r>
      <w:r>
        <w:instrText xml:space="preserve"> PAGEREF _Toc19065 \h </w:instrText>
      </w:r>
      <w:r>
        <w:fldChar w:fldCharType="separate"/>
      </w:r>
      <w:r>
        <w:t>7</w:t>
      </w:r>
      <w:r>
        <w:fldChar w:fldCharType="end"/>
      </w:r>
      <w:r>
        <w:rPr>
          <w:rFonts w:hint="eastAsia" w:ascii="宋体" w:hAnsi="宋体" w:eastAsia="宋体" w:cs="宋体"/>
          <w:spacing w:val="0"/>
          <w:lang w:eastAsia="zh-CN"/>
        </w:rPr>
        <w:fldChar w:fldCharType="end"/>
      </w:r>
    </w:p>
    <w:p w14:paraId="571BA74D">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_Toc5399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10 </w:t>
      </w:r>
      <w:r>
        <w:rPr>
          <w:rFonts w:hint="eastAsia"/>
          <w:lang w:val="en-US" w:eastAsia="zh-CN"/>
        </w:rPr>
        <w:t>再生产品应用要求</w:t>
      </w:r>
      <w:r>
        <w:tab/>
      </w:r>
      <w:r>
        <w:fldChar w:fldCharType="begin"/>
      </w:r>
      <w:r>
        <w:instrText xml:space="preserve"> PAGEREF _Toc5399 \h </w:instrText>
      </w:r>
      <w:r>
        <w:fldChar w:fldCharType="separate"/>
      </w:r>
      <w:r>
        <w:t>7</w:t>
      </w:r>
      <w:r>
        <w:fldChar w:fldCharType="end"/>
      </w:r>
      <w:r>
        <w:rPr>
          <w:rFonts w:hint="eastAsia" w:ascii="宋体" w:hAnsi="宋体" w:eastAsia="宋体" w:cs="宋体"/>
          <w:spacing w:val="0"/>
          <w:lang w:eastAsia="zh-CN"/>
        </w:rPr>
        <w:fldChar w:fldCharType="end"/>
      </w:r>
    </w:p>
    <w:p w14:paraId="4EB574BC">
      <w:pPr>
        <w:pStyle w:val="59"/>
        <w:bidi w:val="0"/>
        <w:rPr>
          <w:rFonts w:hint="eastAsia" w:ascii="宋体" w:hAnsi="宋体" w:eastAsia="宋体" w:cs="宋体"/>
          <w:spacing w:val="0"/>
          <w:lang w:eastAsia="zh-CN"/>
        </w:rPr>
      </w:pPr>
      <w:r>
        <w:rPr>
          <w:rFonts w:hint="eastAsia" w:ascii="宋体" w:hAnsi="宋体" w:eastAsia="宋体" w:cs="宋体"/>
          <w:spacing w:val="0"/>
          <w:lang w:eastAsia="zh-CN"/>
        </w:rPr>
        <w:fldChar w:fldCharType="end"/>
      </w:r>
    </w:p>
    <w:p w14:paraId="21BF29C6">
      <w:pPr>
        <w:pStyle w:val="59"/>
        <w:bidi w:val="0"/>
        <w:rPr>
          <w:rFonts w:hint="eastAsia" w:ascii="宋体" w:hAnsi="宋体" w:eastAsia="宋体" w:cs="宋体"/>
          <w:spacing w:val="0"/>
          <w:lang w:eastAsia="zh-C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12379"/>
      <w:bookmarkStart w:id="3" w:name="_Toc27740"/>
      <w:bookmarkStart w:id="4" w:name="BookMark2"/>
      <w:r>
        <w:rPr>
          <w:rFonts w:hint="eastAsia"/>
          <w:lang w:eastAsia="zh-CN"/>
        </w:rPr>
        <w:t>前</w:t>
      </w:r>
      <w:r>
        <w:t>言</w:t>
      </w:r>
      <w:bookmarkEnd w:id="1"/>
      <w:bookmarkEnd w:id="2"/>
      <w:bookmarkEnd w:id="3"/>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4"/>
    <w:p w14:paraId="48FD2902">
      <w:pPr>
        <w:spacing w:line="20" w:lineRule="exact"/>
        <w:jc w:val="center"/>
        <w:rPr>
          <w:rFonts w:ascii="黑体" w:hAnsi="黑体" w:eastAsia="黑体"/>
          <w:sz w:val="32"/>
          <w:szCs w:val="32"/>
        </w:rPr>
      </w:pPr>
      <w:bookmarkStart w:id="5"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6" w:name="_Toc20229"/>
      <w:bookmarkStart w:id="7" w:name="_Toc31"/>
      <w:bookmarkStart w:id="8" w:name="_Toc3024"/>
      <w:bookmarkStart w:id="9" w:name="_Toc97192964"/>
      <w:bookmarkStart w:id="10" w:name="_Toc26986771"/>
      <w:bookmarkStart w:id="11" w:name="_Toc113284169"/>
      <w:bookmarkStart w:id="12" w:name="NEW_STAND_NAME"/>
      <w:bookmarkStart w:id="13" w:name="_Toc17233325"/>
      <w:bookmarkStart w:id="14" w:name="_Toc24884211"/>
      <w:bookmarkStart w:id="15" w:name="_Toc26718930"/>
      <w:bookmarkStart w:id="16" w:name="_Toc26648465"/>
      <w:bookmarkStart w:id="17" w:name="_Toc26986530"/>
      <w:bookmarkStart w:id="18" w:name="_Toc17233333"/>
      <w:bookmarkStart w:id="19" w:name="_Toc24884218"/>
      <w:r>
        <w:rPr>
          <w:rFonts w:hint="eastAsia"/>
          <w:lang w:eastAsia="zh-CN"/>
        </w:rPr>
        <w:t>建筑垃圾循环再利用技术规范</w:t>
      </w:r>
      <w:bookmarkEnd w:id="6"/>
      <w:bookmarkEnd w:id="7"/>
      <w:bookmarkEnd w:id="8"/>
    </w:p>
    <w:bookmarkEnd w:id="9"/>
    <w:bookmarkEnd w:id="10"/>
    <w:bookmarkEnd w:id="11"/>
    <w:bookmarkEnd w:id="12"/>
    <w:bookmarkEnd w:id="13"/>
    <w:bookmarkEnd w:id="14"/>
    <w:bookmarkEnd w:id="15"/>
    <w:bookmarkEnd w:id="16"/>
    <w:bookmarkEnd w:id="17"/>
    <w:bookmarkEnd w:id="18"/>
    <w:bookmarkEnd w:id="19"/>
    <w:p w14:paraId="056DA4FB">
      <w:pPr>
        <w:pStyle w:val="107"/>
        <w:spacing w:before="240" w:after="240"/>
      </w:pPr>
      <w:bookmarkStart w:id="20" w:name="_Toc7073"/>
      <w:bookmarkStart w:id="21" w:name="_Toc113282590"/>
      <w:bookmarkStart w:id="22" w:name="_Toc18263"/>
      <w:bookmarkStart w:id="23" w:name="_Toc23108"/>
      <w:bookmarkStart w:id="24" w:name="_Toc24419"/>
      <w:bookmarkStart w:id="25" w:name="_Toc27174"/>
      <w:r>
        <w:rPr>
          <w:rFonts w:hint="eastAsia"/>
        </w:rPr>
        <w:t>范围</w:t>
      </w:r>
      <w:bookmarkEnd w:id="20"/>
      <w:bookmarkEnd w:id="21"/>
      <w:bookmarkEnd w:id="22"/>
      <w:bookmarkEnd w:id="23"/>
      <w:bookmarkEnd w:id="24"/>
      <w:bookmarkEnd w:id="25"/>
    </w:p>
    <w:p w14:paraId="2ADE793A">
      <w:pPr>
        <w:pStyle w:val="59"/>
        <w:ind w:firstLine="420"/>
        <w:rPr>
          <w:rFonts w:hint="eastAsia"/>
          <w:lang w:eastAsia="zh-CN"/>
        </w:rPr>
      </w:pPr>
      <w:bookmarkStart w:id="26" w:name="_Toc26648466"/>
      <w:bookmarkStart w:id="27" w:name="_Toc24884219"/>
      <w:bookmarkStart w:id="28" w:name="_Toc24884212"/>
      <w:bookmarkStart w:id="29" w:name="_Toc17233334"/>
      <w:bookmarkStart w:id="30" w:name="_Toc17233326"/>
      <w:r>
        <w:rPr>
          <w:rFonts w:hint="eastAsia"/>
          <w:lang w:eastAsia="zh-CN"/>
        </w:rPr>
        <w:t>本</w:t>
      </w:r>
      <w:r>
        <w:rPr>
          <w:rFonts w:hint="eastAsia"/>
          <w:lang w:val="en-US" w:eastAsia="zh-CN"/>
        </w:rPr>
        <w:t>文件</w:t>
      </w:r>
      <w:r>
        <w:rPr>
          <w:rFonts w:hint="eastAsia"/>
          <w:lang w:eastAsia="zh-CN"/>
        </w:rPr>
        <w:t>规定了建筑垃圾循环利用的项目建设要求、生产工艺与技术设备、绿色节能与低碳环保要求、安全生产、职业健康防护、再生产品性能要求、及再生产品应用要求。</w:t>
      </w:r>
    </w:p>
    <w:p w14:paraId="14BF4A9C">
      <w:pPr>
        <w:pStyle w:val="59"/>
        <w:ind w:firstLine="420"/>
        <w:rPr>
          <w:rFonts w:hint="eastAsia"/>
          <w:lang w:eastAsia="zh-CN"/>
        </w:rPr>
      </w:pPr>
      <w:r>
        <w:rPr>
          <w:rFonts w:hint="eastAsia"/>
          <w:lang w:eastAsia="zh-CN"/>
        </w:rPr>
        <w:t>本</w:t>
      </w:r>
      <w:r>
        <w:rPr>
          <w:rFonts w:hint="eastAsia"/>
          <w:lang w:val="en-US" w:eastAsia="zh-CN"/>
        </w:rPr>
        <w:t>文件</w:t>
      </w:r>
      <w:r>
        <w:rPr>
          <w:rFonts w:hint="eastAsia"/>
          <w:lang w:eastAsia="zh-CN"/>
        </w:rPr>
        <w:t>适用于</w:t>
      </w:r>
      <w:r>
        <w:rPr>
          <w:rFonts w:hint="eastAsia"/>
          <w:lang w:val="en-US" w:eastAsia="zh-CN"/>
        </w:rPr>
        <w:t>建筑工程、市政工程、拆迁工程产生的建筑垃圾的循环利用处理处置</w:t>
      </w:r>
      <w:r>
        <w:rPr>
          <w:rFonts w:hint="eastAsia"/>
          <w:lang w:eastAsia="zh-CN"/>
        </w:rPr>
        <w:t>。</w:t>
      </w:r>
    </w:p>
    <w:p w14:paraId="136AE366">
      <w:pPr>
        <w:pStyle w:val="107"/>
        <w:spacing w:before="240" w:after="240"/>
      </w:pPr>
      <w:bookmarkStart w:id="31" w:name="_Toc13917"/>
      <w:bookmarkStart w:id="32" w:name="_Toc26718931"/>
      <w:bookmarkStart w:id="33" w:name="_Toc97192965"/>
      <w:bookmarkStart w:id="34" w:name="_Toc19575"/>
      <w:bookmarkStart w:id="35" w:name="_Toc26986531"/>
      <w:bookmarkStart w:id="36" w:name="_Toc1048"/>
      <w:bookmarkStart w:id="37" w:name="_Toc113282591"/>
      <w:bookmarkStart w:id="38" w:name="_Toc29984"/>
      <w:bookmarkStart w:id="39" w:name="_Toc26986772"/>
      <w:bookmarkStart w:id="40" w:name="_Toc4308"/>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1" w:name="_Toc97192966"/>
      <w:bookmarkStart w:id="42" w:name="_Toc113282592"/>
    </w:p>
    <w:p w14:paraId="32C257F5">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GBZ 188  职业健康监护技术规范</w:t>
      </w:r>
    </w:p>
    <w:p w14:paraId="1810DA26">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GBZ/T 229.3  工作场所职业病危害作业分级 第 3 部分：高温</w:t>
      </w:r>
    </w:p>
    <w:p w14:paraId="6475189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2894  安全标志及其使用导则</w:t>
      </w:r>
    </w:p>
    <w:p w14:paraId="7AF6A071">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4387  工业企业厂内铁路、道路运输安全规程</w:t>
      </w:r>
    </w:p>
    <w:p w14:paraId="3A3BBF56">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12348  工业企业厂界环境噪声排放标准</w:t>
      </w:r>
    </w:p>
    <w:p w14:paraId="15091681">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13495.1  消防安全标志 第 1 部分：标志</w:t>
      </w:r>
    </w:p>
    <w:p w14:paraId="16551C7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14902  预拌混凝土</w:t>
      </w:r>
    </w:p>
    <w:p w14:paraId="1FF9097B">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15630  消防安全标志设置要求</w:t>
      </w:r>
    </w:p>
    <w:p w14:paraId="007ED21B">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21144  混凝土实心砖</w:t>
      </w:r>
    </w:p>
    <w:p w14:paraId="51B4DCB0">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24492  非承重混凝土空心砖</w:t>
      </w:r>
    </w:p>
    <w:p w14:paraId="72A549D9">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25176  混凝土和砂浆用再生细骨料</w:t>
      </w:r>
    </w:p>
    <w:p w14:paraId="51E468F3">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25177  混凝土用再生粗骨料</w:t>
      </w:r>
    </w:p>
    <w:p w14:paraId="515AB74C">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25181  预拌砂浆</w:t>
      </w:r>
    </w:p>
    <w:p w14:paraId="64AE5721">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25520  矿物粉磨和超微粉碎设备安全要求</w:t>
      </w:r>
    </w:p>
    <w:p w14:paraId="245A49C3">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25993  透水路面砖和透水路面板</w:t>
      </w:r>
    </w:p>
    <w:p w14:paraId="4603B949">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31962  污水排入城镇下水道水质标准</w:t>
      </w:r>
    </w:p>
    <w:p w14:paraId="00364EA1">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50016  建筑设计防火规范</w:t>
      </w:r>
    </w:p>
    <w:p w14:paraId="5C1F8822">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50054  低压配电设计规范</w:t>
      </w:r>
    </w:p>
    <w:p w14:paraId="44AB1825">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50060 3-110kV高压配电装置设计规范</w:t>
      </w:r>
    </w:p>
    <w:p w14:paraId="4D2D664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50140  建筑灭火器配置设计规范</w:t>
      </w:r>
    </w:p>
    <w:p w14:paraId="00FC3D3A">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50164  混凝土质量控制标准</w:t>
      </w:r>
    </w:p>
    <w:p w14:paraId="37EAF1D0">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50869  生活垃圾卫生填埋处理技术标准</w:t>
      </w:r>
    </w:p>
    <w:p w14:paraId="3DF5EEC5">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51003  矿物掺合料应用技术规范</w:t>
      </w:r>
    </w:p>
    <w:p w14:paraId="1808C231">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JGJ/T 46  施工现场临时用电安全技术标准</w:t>
      </w:r>
    </w:p>
    <w:p w14:paraId="1E06029C">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CJJ/T 134  建筑垃圾处理技术标准</w:t>
      </w:r>
    </w:p>
    <w:p w14:paraId="41BFEC7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JGJ/T 223  预拌砂浆应用技术规程</w:t>
      </w:r>
    </w:p>
    <w:p w14:paraId="65FE0FE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JGJ/T 240  再生骨料应用技术规程</w:t>
      </w:r>
    </w:p>
    <w:p w14:paraId="0B27FF68">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CJJ/T 253  再生骨料透水混凝土应用技术规程</w:t>
      </w:r>
    </w:p>
    <w:p w14:paraId="7F02B2A6">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CJ/T 340  绿化种植土壤</w:t>
      </w:r>
    </w:p>
    <w:p w14:paraId="381D6AA5">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CJ/T 400  再生骨料地面砖和透水砖</w:t>
      </w:r>
    </w:p>
    <w:p w14:paraId="75C3A5A0">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JG/T 573  混凝土和砂浆用再生微粉</w:t>
      </w:r>
    </w:p>
    <w:p w14:paraId="6878F7D2">
      <w:pPr>
        <w:autoSpaceDE w:val="0"/>
        <w:autoSpaceDN w:val="0"/>
        <w:spacing w:line="240" w:lineRule="auto"/>
        <w:ind w:firstLine="420" w:firstLineChars="200"/>
        <w:rPr>
          <w:rFonts w:hint="default" w:ascii="宋体" w:hAnsi="宋体" w:cs="宋体"/>
          <w:lang w:val="en-US" w:eastAsia="zh-CN"/>
        </w:rPr>
      </w:pPr>
      <w:r>
        <w:rPr>
          <w:rFonts w:hint="eastAsia" w:ascii="宋体" w:hAnsi="宋体" w:cs="宋体"/>
          <w:lang w:val="en-US" w:eastAsia="zh-CN"/>
        </w:rPr>
        <w:t>JC/T 2281  道路用建筑垃圾再生骨料无机混合料</w:t>
      </w:r>
    </w:p>
    <w:p w14:paraId="6E4A9259">
      <w:pPr>
        <w:pStyle w:val="107"/>
        <w:spacing w:before="240" w:after="240"/>
      </w:pPr>
      <w:bookmarkStart w:id="43" w:name="_Toc4140"/>
      <w:bookmarkStart w:id="44" w:name="_Toc2656"/>
      <w:bookmarkStart w:id="45" w:name="_Toc6287"/>
      <w:bookmarkStart w:id="46" w:name="_Toc11391"/>
      <w:bookmarkStart w:id="47" w:name="_Toc28445"/>
      <w:r>
        <w:rPr>
          <w:rFonts w:hint="eastAsia"/>
          <w:szCs w:val="21"/>
        </w:rPr>
        <w:t>术语和定义</w:t>
      </w:r>
      <w:bookmarkEnd w:id="41"/>
      <w:bookmarkEnd w:id="42"/>
      <w:bookmarkEnd w:id="43"/>
      <w:bookmarkEnd w:id="44"/>
      <w:bookmarkEnd w:id="45"/>
      <w:bookmarkEnd w:id="46"/>
      <w:bookmarkEnd w:id="47"/>
    </w:p>
    <w:p w14:paraId="48640116">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6CB23555">
      <w:pPr>
        <w:pStyle w:val="108"/>
        <w:spacing w:before="120" w:after="120"/>
        <w:rPr>
          <w:rFonts w:hint="eastAsia" w:ascii="黑体" w:hAnsi="黑体" w:eastAsia="黑体" w:cs="黑体"/>
          <w:sz w:val="21"/>
          <w:lang w:val="en-US" w:eastAsia="zh-CN" w:bidi="ar-SA"/>
        </w:rPr>
      </w:pPr>
      <w:bookmarkStart w:id="48" w:name="_Toc13894"/>
      <w:bookmarkEnd w:id="48"/>
      <w:bookmarkStart w:id="49" w:name="_Toc18256"/>
      <w:bookmarkEnd w:id="49"/>
      <w:bookmarkStart w:id="50" w:name="_Toc30049"/>
      <w:bookmarkEnd w:id="50"/>
      <w:bookmarkStart w:id="51" w:name="_Toc15123"/>
      <w:bookmarkStart w:id="52" w:name="_Toc8279"/>
      <w:bookmarkStart w:id="53" w:name="_Toc7731"/>
      <w:bookmarkStart w:id="54" w:name="_Toc17642"/>
      <w:bookmarkStart w:id="55" w:name="_Toc22168"/>
      <w:bookmarkStart w:id="56" w:name="_Toc19292"/>
    </w:p>
    <w:p w14:paraId="7367AD0E">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57" w:name="_Toc13010"/>
      <w:bookmarkStart w:id="58" w:name="_Toc31275"/>
      <w:bookmarkStart w:id="59" w:name="_Toc13248"/>
      <w:r>
        <w:rPr>
          <w:rFonts w:hint="eastAsia" w:hAnsi="黑体" w:cs="黑体"/>
          <w:sz w:val="21"/>
          <w:lang w:val="en-US" w:eastAsia="zh-CN" w:bidi="ar-SA"/>
        </w:rPr>
        <w:t>建筑垃圾</w:t>
      </w:r>
      <w:r>
        <w:rPr>
          <w:rFonts w:hint="eastAsia" w:ascii="黑体" w:hAnsi="黑体" w:eastAsia="黑体" w:cs="黑体"/>
          <w:sz w:val="21"/>
          <w:lang w:val="en-US" w:eastAsia="zh-CN" w:bidi="ar-SA"/>
        </w:rPr>
        <w:t xml:space="preserve"> </w:t>
      </w:r>
      <w:bookmarkEnd w:id="51"/>
      <w:bookmarkEnd w:id="52"/>
      <w:bookmarkEnd w:id="53"/>
      <w:bookmarkEnd w:id="54"/>
      <w:bookmarkEnd w:id="55"/>
      <w:bookmarkEnd w:id="56"/>
      <w:bookmarkEnd w:id="57"/>
      <w:bookmarkEnd w:id="58"/>
      <w:bookmarkEnd w:id="59"/>
      <w:r>
        <w:rPr>
          <w:rFonts w:hint="default" w:ascii="Times New Roman" w:hAnsi="Times New Roman" w:cs="Times New Roman"/>
          <w:sz w:val="21"/>
          <w:lang w:val="en-US" w:eastAsia="zh-CN" w:bidi="ar-SA"/>
        </w:rPr>
        <w:t>construction waste</w:t>
      </w:r>
    </w:p>
    <w:p w14:paraId="18FA02D8">
      <w:pPr>
        <w:pStyle w:val="59"/>
        <w:rPr>
          <w:rFonts w:hint="eastAsia" w:ascii="宋体" w:hAnsi="宋体" w:eastAsia="宋体" w:cs="宋体"/>
          <w:lang w:val="en-US" w:eastAsia="zh-CN"/>
        </w:rPr>
      </w:pPr>
      <w:r>
        <w:rPr>
          <w:rFonts w:hint="eastAsia" w:hAnsi="宋体" w:cs="宋体"/>
          <w:lang w:val="en-US" w:eastAsia="zh-CN"/>
        </w:rPr>
        <w:t>单位和个人新建、改建、扩建、平整、修缮、拆除、清理各类建筑物、构筑物、管网、场地、道路、河道所产生的余泥、余渣、泥浆及其他废弃物</w:t>
      </w:r>
      <w:r>
        <w:rPr>
          <w:rFonts w:hint="eastAsia" w:ascii="宋体" w:hAnsi="宋体" w:eastAsia="宋体" w:cs="宋体"/>
          <w:lang w:val="en-US" w:eastAsia="zh-CN"/>
        </w:rPr>
        <w:t>。</w:t>
      </w:r>
    </w:p>
    <w:p w14:paraId="368F1977">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66A4C9A0">
      <w:pPr>
        <w:pStyle w:val="108"/>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建筑垃圾循环利用 Construction waste recycling</w:t>
      </w:r>
    </w:p>
    <w:p w14:paraId="66964701">
      <w:pPr>
        <w:pStyle w:val="59"/>
        <w:rPr>
          <w:rFonts w:hint="eastAsia"/>
          <w:lang w:val="en-US" w:eastAsia="zh-CN"/>
        </w:rPr>
      </w:pPr>
      <w:r>
        <w:rPr>
          <w:rFonts w:hint="eastAsia"/>
          <w:lang w:val="en-US" w:eastAsia="zh-CN"/>
        </w:rPr>
        <w:t>对建筑垃圾进行减量化、无害化、资源化处理的过程，包括回收、分拣、破碎、加工及再生产品生产与应用。</w:t>
      </w:r>
    </w:p>
    <w:p w14:paraId="5957EC11">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4BED2AE2">
      <w:pPr>
        <w:pStyle w:val="108"/>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固定式生产线 Fixed production line</w:t>
      </w:r>
    </w:p>
    <w:p w14:paraId="24AD096D">
      <w:pPr>
        <w:pStyle w:val="59"/>
        <w:rPr>
          <w:rFonts w:hint="eastAsia"/>
          <w:lang w:val="en-US" w:eastAsia="zh-CN"/>
        </w:rPr>
      </w:pPr>
      <w:r>
        <w:rPr>
          <w:rFonts w:hint="eastAsia"/>
          <w:lang w:val="en-US" w:eastAsia="zh-CN"/>
        </w:rPr>
        <w:t>在封闭车间内，采用固定式破碎机、筛分设备等对建筑垃圾进行集中处置的生产线。</w:t>
      </w:r>
    </w:p>
    <w:p w14:paraId="3B6C64C8">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5D22AAA2">
      <w:pPr>
        <w:pStyle w:val="108"/>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移动式生产线 Mobile production line</w:t>
      </w:r>
    </w:p>
    <w:p w14:paraId="2A9126F2">
      <w:pPr>
        <w:pStyle w:val="59"/>
        <w:rPr>
          <w:rFonts w:hint="eastAsia"/>
          <w:lang w:val="en-US" w:eastAsia="zh-CN"/>
        </w:rPr>
      </w:pPr>
      <w:r>
        <w:rPr>
          <w:rFonts w:hint="eastAsia"/>
          <w:lang w:val="en-US" w:eastAsia="zh-CN"/>
        </w:rPr>
        <w:t>将给料机、破碎机、振动筛等主机设备集成于车架，可现场移动并处理建筑垃圾的生产线。</w:t>
      </w:r>
    </w:p>
    <w:p w14:paraId="5FE20F82">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42E5B2B7">
      <w:pPr>
        <w:pStyle w:val="108"/>
        <w:keepNext w:val="0"/>
        <w:keepLines w:val="0"/>
        <w:pageBreakBefore w:val="0"/>
        <w:widowControl/>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再生骨料 Regenerated aggregate</w:t>
      </w:r>
    </w:p>
    <w:p w14:paraId="0CDF7497">
      <w:pPr>
        <w:pStyle w:val="59"/>
        <w:rPr>
          <w:rFonts w:hint="eastAsia"/>
          <w:lang w:val="en-US" w:eastAsia="zh-CN"/>
        </w:rPr>
      </w:pPr>
      <w:r>
        <w:rPr>
          <w:rFonts w:hint="eastAsia"/>
          <w:lang w:val="en-US" w:eastAsia="zh-CN"/>
        </w:rPr>
        <w:t>由建筑垃圾中混凝土、砂浆、砖石等加工而成的骨料，其中粒径＞4.75mm的为再生粗骨料，粒径≤4.75mm的为再生细骨料。</w:t>
      </w:r>
    </w:p>
    <w:p w14:paraId="79C4E4E0">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11109339">
      <w:pPr>
        <w:pStyle w:val="108"/>
        <w:keepNext w:val="0"/>
        <w:keepLines w:val="0"/>
        <w:pageBreakBefore w:val="0"/>
        <w:widowControl/>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再生微粉 Regenerate fine powder</w:t>
      </w:r>
    </w:p>
    <w:p w14:paraId="08171724">
      <w:pPr>
        <w:pStyle w:val="59"/>
        <w:rPr>
          <w:rFonts w:hint="eastAsia"/>
          <w:lang w:val="en-US" w:eastAsia="zh-CN"/>
        </w:rPr>
      </w:pPr>
      <w:r>
        <w:rPr>
          <w:rFonts w:hint="eastAsia"/>
          <w:lang w:val="en-US" w:eastAsia="zh-CN"/>
        </w:rPr>
        <w:t>采用混凝土、砖瓦等为主要成分的建筑垃圾制备再生骨料时，伴随产生的粒径＜75μm的颗粒。</w:t>
      </w:r>
    </w:p>
    <w:p w14:paraId="77D76A23">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1C60D849">
      <w:pPr>
        <w:pStyle w:val="108"/>
        <w:keepNext w:val="0"/>
        <w:keepLines w:val="0"/>
        <w:pageBreakBefore w:val="0"/>
        <w:widowControl/>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再生矿物掺合料 Recycled mineral admixture</w:t>
      </w:r>
    </w:p>
    <w:p w14:paraId="3205CE10">
      <w:pPr>
        <w:pStyle w:val="59"/>
        <w:rPr>
          <w:rFonts w:hint="eastAsia"/>
          <w:lang w:val="en-US" w:eastAsia="zh-CN"/>
        </w:rPr>
      </w:pPr>
      <w:r>
        <w:rPr>
          <w:rFonts w:hint="eastAsia"/>
          <w:lang w:val="en-US" w:eastAsia="zh-CN"/>
        </w:rPr>
        <w:t>以硅、铝、钙等一种或多种氧化物为主要成分，具有规定细度，掺入混凝土中可改善其性能的再生微粉。</w:t>
      </w:r>
    </w:p>
    <w:p w14:paraId="25A5EAEF">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7A2A6A41">
      <w:pPr>
        <w:pStyle w:val="108"/>
        <w:keepNext w:val="0"/>
        <w:keepLines w:val="0"/>
        <w:pageBreakBefore w:val="0"/>
        <w:widowControl/>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再生产品 Reproducible</w:t>
      </w:r>
    </w:p>
    <w:p w14:paraId="1D8277D3">
      <w:pPr>
        <w:pStyle w:val="59"/>
        <w:rPr>
          <w:rFonts w:hint="eastAsia"/>
          <w:lang w:val="en-US" w:eastAsia="zh-CN"/>
        </w:rPr>
      </w:pPr>
      <w:r>
        <w:rPr>
          <w:rFonts w:hint="eastAsia"/>
          <w:lang w:val="en-US" w:eastAsia="zh-CN"/>
        </w:rPr>
        <w:t>以建筑垃圾为主要原料制成的产品，或经处理后可用于工程的材料。</w:t>
      </w:r>
    </w:p>
    <w:p w14:paraId="4B789933">
      <w:pPr>
        <w:pStyle w:val="107"/>
        <w:spacing w:before="240" w:after="240"/>
      </w:pPr>
      <w:bookmarkStart w:id="60" w:name="_Toc2094"/>
      <w:bookmarkStart w:id="61" w:name="_Toc1530"/>
      <w:r>
        <w:rPr>
          <w:rFonts w:hint="eastAsia"/>
        </w:rPr>
        <w:t>项目建设要求</w:t>
      </w:r>
      <w:bookmarkEnd w:id="60"/>
      <w:bookmarkEnd w:id="61"/>
    </w:p>
    <w:p w14:paraId="2C06AEC3">
      <w:pPr>
        <w:pStyle w:val="108"/>
        <w:spacing w:before="120" w:after="120"/>
        <w:rPr>
          <w:rFonts w:hint="default" w:ascii="黑体" w:hAnsi="黑体" w:eastAsia="黑体" w:cs="黑体"/>
          <w:sz w:val="21"/>
          <w:lang w:val="en-US" w:eastAsia="zh-CN" w:bidi="ar-SA"/>
        </w:rPr>
      </w:pPr>
      <w:r>
        <w:rPr>
          <w:rFonts w:hint="eastAsia" w:hAnsi="黑体" w:cs="黑体"/>
          <w:sz w:val="21"/>
          <w:lang w:val="en-US" w:eastAsia="zh-CN" w:bidi="ar-SA"/>
        </w:rPr>
        <w:t>一般要求</w:t>
      </w:r>
    </w:p>
    <w:p w14:paraId="21011AC0">
      <w:pPr>
        <w:pStyle w:val="68"/>
        <w:bidi w:val="0"/>
        <w:rPr>
          <w:rFonts w:hint="eastAsia" w:ascii="宋体" w:hAnsi="宋体" w:eastAsia="宋体" w:cs="宋体"/>
          <w:lang w:val="en-US" w:eastAsia="zh-CN"/>
        </w:rPr>
      </w:pPr>
      <w:r>
        <w:rPr>
          <w:rFonts w:hint="eastAsia" w:ascii="宋体" w:hAnsi="宋体" w:eastAsia="宋体" w:cs="宋体"/>
          <w:lang w:val="en-US" w:eastAsia="zh-CN"/>
        </w:rPr>
        <w:t>建筑垃圾循环利用固定式生产线应符合国家产业规划及所在地区循环经济发展政策，不得违反生态保护红线要求。</w:t>
      </w:r>
    </w:p>
    <w:p w14:paraId="7D405458">
      <w:pPr>
        <w:pStyle w:val="68"/>
        <w:bidi w:val="0"/>
        <w:rPr>
          <w:rFonts w:hint="eastAsia" w:ascii="宋体" w:hAnsi="宋体" w:eastAsia="宋体" w:cs="宋体"/>
          <w:lang w:val="en-US" w:eastAsia="zh-CN"/>
        </w:rPr>
      </w:pPr>
      <w:r>
        <w:rPr>
          <w:rFonts w:hint="eastAsia" w:ascii="宋体" w:hAnsi="宋体" w:eastAsia="宋体" w:cs="宋体"/>
          <w:lang w:val="en-US" w:eastAsia="zh-CN"/>
        </w:rPr>
        <w:t>不应在风景名胜区、自然保护区、饮用水水源保护区、大气污染防治敏感区及其他需特殊保护的区域设置生产线。</w:t>
      </w:r>
    </w:p>
    <w:p w14:paraId="16B6C953">
      <w:pPr>
        <w:pStyle w:val="68"/>
        <w:bidi w:val="0"/>
        <w:rPr>
          <w:rFonts w:hint="eastAsia" w:ascii="宋体" w:hAnsi="宋体" w:eastAsia="宋体" w:cs="宋体"/>
          <w:lang w:val="en-US" w:eastAsia="zh-CN"/>
        </w:rPr>
      </w:pPr>
      <w:bookmarkStart w:id="62" w:name="_Toc3776"/>
      <w:bookmarkStart w:id="63" w:name="_Toc18062"/>
      <w:r>
        <w:rPr>
          <w:rFonts w:hint="eastAsia" w:ascii="宋体" w:hAnsi="宋体" w:eastAsia="宋体" w:cs="宋体"/>
          <w:lang w:val="en-US" w:eastAsia="zh-CN"/>
        </w:rPr>
        <w:t>固定式生产线宜选址于循环经济产业园区、建筑垃圾消纳场周边或现有建材企业厂区内，减少原料运输距离。</w:t>
      </w:r>
      <w:bookmarkEnd w:id="62"/>
      <w:bookmarkEnd w:id="63"/>
    </w:p>
    <w:p w14:paraId="185D8D83">
      <w:pPr>
        <w:pStyle w:val="68"/>
        <w:bidi w:val="0"/>
        <w:rPr>
          <w:rFonts w:hint="eastAsia" w:ascii="宋体" w:hAnsi="宋体" w:eastAsia="宋体" w:cs="宋体"/>
          <w:lang w:val="en-US" w:eastAsia="zh-CN"/>
        </w:rPr>
      </w:pPr>
      <w:r>
        <w:rPr>
          <w:rFonts w:hint="eastAsia" w:ascii="宋体" w:hAnsi="宋体" w:eastAsia="宋体" w:cs="宋体"/>
          <w:lang w:val="en-US" w:eastAsia="zh-CN"/>
        </w:rPr>
        <w:t>移动式生产线宜选址于建筑垃圾产生量大的拆除工程现场、临时受纳场或工程建设项目周边，降低转运成本。</w:t>
      </w:r>
    </w:p>
    <w:p w14:paraId="550A9FAF">
      <w:pPr>
        <w:pStyle w:val="68"/>
        <w:bidi w:val="0"/>
        <w:rPr>
          <w:rFonts w:hint="eastAsia"/>
          <w:lang w:val="en-US" w:eastAsia="zh-CN"/>
        </w:rPr>
      </w:pPr>
      <w:r>
        <w:rPr>
          <w:rFonts w:hint="eastAsia" w:ascii="宋体" w:hAnsi="宋体" w:eastAsia="宋体" w:cs="宋体"/>
          <w:lang w:val="en-US" w:eastAsia="zh-CN"/>
        </w:rPr>
        <w:t>鼓励水泥、混凝土、墙体材料等传统建材企业改造生产线，利用建筑垃圾生产再生产品，实现产业转型升级。</w:t>
      </w:r>
    </w:p>
    <w:p w14:paraId="59591DB9">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特殊要求</w:t>
      </w:r>
    </w:p>
    <w:p w14:paraId="7407D420">
      <w:pPr>
        <w:pStyle w:val="59"/>
        <w:rPr>
          <w:rFonts w:hint="eastAsia"/>
          <w:lang w:val="en-US" w:eastAsia="zh-CN"/>
        </w:rPr>
      </w:pPr>
      <w:r>
        <w:rPr>
          <w:rFonts w:hint="eastAsia"/>
          <w:lang w:val="en-US" w:eastAsia="zh-CN"/>
        </w:rPr>
        <w:t>利用下挖余泥、盾构土、泥浆生产烧结制品时，其能耗应符合国家建材行业能耗限额要求，清洁生产水平应达到行业二级及以上标准。</w:t>
      </w:r>
    </w:p>
    <w:p w14:paraId="619417FE">
      <w:pPr>
        <w:pStyle w:val="107"/>
        <w:bidi w:val="0"/>
        <w:rPr>
          <w:rFonts w:hint="eastAsia"/>
          <w:lang w:val="en-US" w:eastAsia="zh-CN"/>
        </w:rPr>
      </w:pPr>
      <w:bookmarkStart w:id="64" w:name="_Toc29225"/>
      <w:r>
        <w:rPr>
          <w:rFonts w:hint="eastAsia"/>
          <w:lang w:val="en-US" w:eastAsia="zh-CN"/>
        </w:rPr>
        <w:t>生产工艺与技术设备</w:t>
      </w:r>
      <w:bookmarkEnd w:id="64"/>
    </w:p>
    <w:p w14:paraId="44BA0794">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生产工艺要求</w:t>
      </w:r>
    </w:p>
    <w:p w14:paraId="5689CAAD">
      <w:pPr>
        <w:pStyle w:val="68"/>
        <w:bidi w:val="0"/>
        <w:rPr>
          <w:rFonts w:hint="eastAsia" w:ascii="宋体" w:hAnsi="宋体" w:eastAsia="宋体" w:cs="宋体"/>
          <w:lang w:val="en-US" w:eastAsia="zh-CN"/>
        </w:rPr>
      </w:pPr>
      <w:r>
        <w:rPr>
          <w:rFonts w:hint="eastAsia" w:ascii="宋体" w:hAnsi="宋体" w:eastAsia="宋体" w:cs="宋体"/>
          <w:lang w:val="en-US" w:eastAsia="zh-CN"/>
        </w:rPr>
        <w:t>应采用绿色化、集约化生产工艺，优先选用低能耗、低污染的技术路线，提升建筑垃圾资源化率。</w:t>
      </w:r>
    </w:p>
    <w:p w14:paraId="35A14BFA">
      <w:pPr>
        <w:pStyle w:val="68"/>
        <w:bidi w:val="0"/>
        <w:rPr>
          <w:rFonts w:hint="eastAsia"/>
          <w:lang w:val="en-US" w:eastAsia="zh-CN"/>
        </w:rPr>
      </w:pPr>
      <w:r>
        <w:rPr>
          <w:rFonts w:hint="eastAsia" w:ascii="宋体" w:hAnsi="宋体" w:eastAsia="宋体" w:cs="宋体"/>
          <w:lang w:val="en-US" w:eastAsia="zh-CN"/>
        </w:rPr>
        <w:t>根据建筑垃圾类型及再生产品定位，选择固定式或移动式生产方式：</w:t>
      </w:r>
    </w:p>
    <w:p w14:paraId="4B18174A">
      <w:pPr>
        <w:pStyle w:val="177"/>
        <w:bidi w:val="0"/>
        <w:ind w:left="851" w:leftChars="0" w:hanging="426" w:firstLineChars="0"/>
        <w:rPr>
          <w:rFonts w:hint="eastAsia"/>
          <w:lang w:val="en-US" w:eastAsia="zh-CN"/>
        </w:rPr>
      </w:pPr>
      <w:r>
        <w:rPr>
          <w:rFonts w:hint="eastAsia"/>
          <w:lang w:val="en-US" w:eastAsia="zh-CN"/>
        </w:rPr>
        <w:t>生产再生骨料、再生微粉等通用材料，宜采用固定式生产线；</w:t>
      </w:r>
    </w:p>
    <w:p w14:paraId="362CB1B9">
      <w:pPr>
        <w:pStyle w:val="177"/>
        <w:bidi w:val="0"/>
        <w:ind w:left="851" w:leftChars="0" w:hanging="426" w:firstLineChars="0"/>
        <w:rPr>
          <w:rFonts w:hint="eastAsia"/>
          <w:lang w:val="en-US" w:eastAsia="zh-CN"/>
        </w:rPr>
      </w:pPr>
      <w:r>
        <w:rPr>
          <w:rFonts w:hint="eastAsia"/>
          <w:lang w:val="en-US" w:eastAsia="zh-CN"/>
        </w:rPr>
        <w:t>b)建筑垃圾分散、临时产生的场景，宜采用移动式生产线。</w:t>
      </w:r>
    </w:p>
    <w:p w14:paraId="5CE5B66E">
      <w:pPr>
        <w:pStyle w:val="68"/>
        <w:bidi w:val="0"/>
        <w:rPr>
          <w:rFonts w:hint="eastAsia" w:ascii="宋体" w:hAnsi="宋体" w:eastAsia="宋体" w:cs="宋体"/>
          <w:lang w:val="en-US" w:eastAsia="zh-CN"/>
        </w:rPr>
      </w:pPr>
      <w:r>
        <w:rPr>
          <w:rFonts w:hint="eastAsia" w:ascii="宋体" w:hAnsi="宋体" w:eastAsia="宋体" w:cs="宋体"/>
          <w:lang w:val="en-US" w:eastAsia="zh-CN"/>
        </w:rPr>
        <w:t>再生骨料与再生微粉生产工艺应包含初选、除土、分类、破碎、筛分、除杂等工序，必要时增设清洗工序。</w:t>
      </w:r>
    </w:p>
    <w:p w14:paraId="0FEE2445">
      <w:pPr>
        <w:pStyle w:val="68"/>
        <w:bidi w:val="0"/>
        <w:rPr>
          <w:rFonts w:hint="eastAsia" w:ascii="宋体" w:hAnsi="宋体" w:eastAsia="宋体" w:cs="宋体"/>
          <w:lang w:val="en-US" w:eastAsia="zh-CN"/>
        </w:rPr>
      </w:pPr>
      <w:r>
        <w:rPr>
          <w:rFonts w:hint="eastAsia" w:ascii="宋体" w:hAnsi="宋体" w:eastAsia="宋体" w:cs="宋体"/>
          <w:lang w:val="en-US" w:eastAsia="zh-CN"/>
        </w:rPr>
        <w:t>再生混凝土、预拌砂浆生产工艺应包含配料、搅拌、检验等工序，符合GB/T 14902、GB/T 25181要求。</w:t>
      </w:r>
    </w:p>
    <w:p w14:paraId="313A8D47">
      <w:pPr>
        <w:pStyle w:val="68"/>
        <w:bidi w:val="0"/>
        <w:rPr>
          <w:rFonts w:hint="eastAsia" w:ascii="宋体" w:hAnsi="宋体" w:eastAsia="宋体" w:cs="宋体"/>
          <w:lang w:val="en-US" w:eastAsia="zh-CN"/>
        </w:rPr>
      </w:pPr>
      <w:r>
        <w:rPr>
          <w:rFonts w:hint="eastAsia" w:ascii="宋体" w:hAnsi="宋体" w:eastAsia="宋体" w:cs="宋体"/>
          <w:lang w:val="en-US" w:eastAsia="zh-CN"/>
        </w:rPr>
        <w:t>再生砖、砌块生产工艺应根据类型选择：</w:t>
      </w:r>
    </w:p>
    <w:p w14:paraId="430F0679">
      <w:pPr>
        <w:pStyle w:val="177"/>
        <w:numPr>
          <w:numId w:val="32"/>
        </w:numPr>
        <w:bidi w:val="0"/>
        <w:ind w:left="851" w:leftChars="0" w:hanging="426" w:firstLineChars="0"/>
        <w:rPr>
          <w:rFonts w:hint="eastAsia"/>
          <w:lang w:val="en-US" w:eastAsia="zh-CN"/>
        </w:rPr>
      </w:pPr>
      <w:r>
        <w:rPr>
          <w:rFonts w:hint="eastAsia"/>
          <w:lang w:val="en-US" w:eastAsia="zh-CN"/>
        </w:rPr>
        <w:t>烧结类：初选→破碎→筛分→配料→成型→湿坯干燥→焙烧→检验；</w:t>
      </w:r>
    </w:p>
    <w:p w14:paraId="7F8B6AF5">
      <w:pPr>
        <w:pStyle w:val="177"/>
        <w:numPr>
          <w:numId w:val="32"/>
        </w:numPr>
        <w:bidi w:val="0"/>
        <w:ind w:left="851" w:leftChars="0" w:hanging="426" w:firstLineChars="0"/>
        <w:rPr>
          <w:rFonts w:hint="eastAsia"/>
          <w:lang w:val="en-US" w:eastAsia="zh-CN"/>
        </w:rPr>
      </w:pPr>
      <w:r>
        <w:rPr>
          <w:rFonts w:hint="eastAsia"/>
          <w:lang w:val="en-US" w:eastAsia="zh-CN"/>
        </w:rPr>
        <w:t>免烧类：初选→破碎→筛分→配料→搅拌→成型→养护→检验。</w:t>
      </w:r>
    </w:p>
    <w:p w14:paraId="7E9372E2">
      <w:pPr>
        <w:pStyle w:val="68"/>
        <w:bidi w:val="0"/>
        <w:rPr>
          <w:rFonts w:hint="eastAsia" w:ascii="宋体" w:hAnsi="宋体" w:eastAsia="宋体" w:cs="宋体"/>
          <w:lang w:val="en-US" w:eastAsia="zh-CN"/>
        </w:rPr>
      </w:pPr>
      <w:r>
        <w:rPr>
          <w:rFonts w:hint="eastAsia" w:ascii="宋体" w:hAnsi="宋体" w:eastAsia="宋体" w:cs="宋体"/>
          <w:lang w:val="en-US" w:eastAsia="zh-CN"/>
        </w:rPr>
        <w:t>道路垫层/基层材料生产工艺应包含初选→破碎→筛分→级配调整等工序，符合JC/T 2281要求。</w:t>
      </w:r>
    </w:p>
    <w:p w14:paraId="5F0C65CC">
      <w:pPr>
        <w:pStyle w:val="68"/>
        <w:bidi w:val="0"/>
        <w:rPr>
          <w:rFonts w:hint="eastAsia" w:ascii="宋体" w:hAnsi="宋体" w:eastAsia="宋体" w:cs="宋体"/>
          <w:lang w:val="en-US" w:eastAsia="zh-CN"/>
        </w:rPr>
      </w:pPr>
      <w:r>
        <w:rPr>
          <w:rFonts w:hint="eastAsia" w:ascii="宋体" w:hAnsi="宋体" w:eastAsia="宋体" w:cs="宋体"/>
          <w:lang w:val="en-US" w:eastAsia="zh-CN"/>
        </w:rPr>
        <w:t>园林种植土生产工艺应包含脱水、杂质去除、添加土壤调整剂、堆肥熟化等工序，符合CJ/T 340要求。</w:t>
      </w:r>
    </w:p>
    <w:p w14:paraId="0E7B4941">
      <w:pPr>
        <w:pStyle w:val="68"/>
        <w:bidi w:val="0"/>
        <w:rPr>
          <w:rFonts w:hint="eastAsia"/>
          <w:lang w:val="en-US" w:eastAsia="zh-CN"/>
        </w:rPr>
      </w:pPr>
      <w:r>
        <w:rPr>
          <w:rFonts w:hint="eastAsia" w:ascii="宋体" w:hAnsi="宋体" w:eastAsia="宋体" w:cs="宋体"/>
          <w:lang w:val="en-US" w:eastAsia="zh-CN"/>
        </w:rPr>
        <w:t>建筑垃圾中分离的不可再生垃圾应按GB 50869处置，危险废物应交由具备资质的单位处理。</w:t>
      </w:r>
    </w:p>
    <w:p w14:paraId="7B69CB06">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技术设备要求</w:t>
      </w:r>
    </w:p>
    <w:p w14:paraId="67405F9E">
      <w:pPr>
        <w:pStyle w:val="68"/>
        <w:bidi w:val="0"/>
        <w:rPr>
          <w:rFonts w:hint="eastAsia" w:ascii="宋体" w:hAnsi="宋体" w:eastAsia="宋体" w:cs="宋体"/>
          <w:lang w:val="en-US" w:eastAsia="zh-CN"/>
        </w:rPr>
      </w:pPr>
      <w:r>
        <w:rPr>
          <w:rFonts w:hint="eastAsia" w:ascii="宋体" w:hAnsi="宋体" w:eastAsia="宋体" w:cs="宋体"/>
          <w:lang w:val="en-US" w:eastAsia="zh-CN"/>
        </w:rPr>
        <w:t>设备实际处理能力不得低于设计能力的80%，且应满足节能、环保、安全要求。</w:t>
      </w:r>
    </w:p>
    <w:p w14:paraId="60258B91">
      <w:pPr>
        <w:pStyle w:val="68"/>
        <w:bidi w:val="0"/>
        <w:rPr>
          <w:rFonts w:hint="eastAsia"/>
          <w:lang w:val="en-US" w:eastAsia="zh-CN"/>
        </w:rPr>
      </w:pPr>
      <w:r>
        <w:rPr>
          <w:rFonts w:hint="eastAsia" w:ascii="宋体" w:hAnsi="宋体" w:eastAsia="宋体" w:cs="宋体"/>
          <w:lang w:val="en-US" w:eastAsia="zh-CN"/>
        </w:rPr>
        <w:t>破碎与筛分设备应符合下列规定：</w:t>
      </w:r>
    </w:p>
    <w:p w14:paraId="2575CCDE">
      <w:pPr>
        <w:pStyle w:val="177"/>
        <w:numPr>
          <w:numId w:val="33"/>
        </w:numPr>
        <w:bidi w:val="0"/>
        <w:ind w:left="851" w:leftChars="0" w:hanging="426" w:firstLineChars="0"/>
        <w:rPr>
          <w:rFonts w:hint="eastAsia"/>
          <w:lang w:val="en-US" w:eastAsia="zh-CN"/>
        </w:rPr>
      </w:pPr>
      <w:r>
        <w:rPr>
          <w:rFonts w:hint="eastAsia"/>
          <w:lang w:val="en-US" w:eastAsia="zh-CN"/>
        </w:rPr>
        <w:t>固定式生产线单条破碎线设计能力≥150t/h，筛分设备能力≥200t/h；</w:t>
      </w:r>
    </w:p>
    <w:p w14:paraId="375D54AA">
      <w:pPr>
        <w:pStyle w:val="177"/>
        <w:numPr>
          <w:numId w:val="33"/>
        </w:numPr>
        <w:bidi w:val="0"/>
        <w:ind w:left="851" w:leftChars="0" w:hanging="426" w:firstLineChars="0"/>
        <w:rPr>
          <w:rFonts w:hint="eastAsia"/>
          <w:lang w:val="en-US" w:eastAsia="zh-CN"/>
        </w:rPr>
      </w:pPr>
      <w:r>
        <w:rPr>
          <w:rFonts w:hint="eastAsia"/>
          <w:lang w:val="en-US" w:eastAsia="zh-CN"/>
        </w:rPr>
        <w:t>移动式生产线单条破碎线设计能力≥200t/h；</w:t>
      </w:r>
    </w:p>
    <w:p w14:paraId="688A8C0C">
      <w:pPr>
        <w:pStyle w:val="177"/>
        <w:numPr>
          <w:numId w:val="33"/>
        </w:numPr>
        <w:bidi w:val="0"/>
        <w:ind w:left="851" w:leftChars="0" w:hanging="426" w:firstLineChars="0"/>
        <w:rPr>
          <w:rFonts w:hint="eastAsia"/>
          <w:lang w:val="en-US" w:eastAsia="zh-CN"/>
        </w:rPr>
      </w:pPr>
      <w:r>
        <w:rPr>
          <w:rFonts w:hint="eastAsia"/>
          <w:lang w:val="en-US" w:eastAsia="zh-CN"/>
        </w:rPr>
        <w:t>破碎设备应配备降尘、降噪、除铁、除轻物质装置；筛分设备应配备降尘、降噪装置。</w:t>
      </w:r>
    </w:p>
    <w:p w14:paraId="1F9BCF0A">
      <w:pPr>
        <w:pStyle w:val="68"/>
        <w:bidi w:val="0"/>
        <w:rPr>
          <w:rFonts w:hint="eastAsia" w:ascii="宋体" w:hAnsi="宋体" w:eastAsia="宋体" w:cs="宋体"/>
          <w:lang w:val="en-US" w:eastAsia="zh-CN"/>
        </w:rPr>
      </w:pPr>
      <w:r>
        <w:rPr>
          <w:rFonts w:hint="eastAsia" w:ascii="宋体" w:hAnsi="宋体" w:eastAsia="宋体" w:cs="宋体"/>
          <w:lang w:val="en-US" w:eastAsia="zh-CN"/>
        </w:rPr>
        <w:t>生产再生砖、砌块的固定式生产线，单条线年产应不少于6000万标砖；生产再生矿物掺合料的固定式生产线，单条线年产应不少于00万吨。</w:t>
      </w:r>
    </w:p>
    <w:p w14:paraId="216FBB36">
      <w:pPr>
        <w:pStyle w:val="68"/>
        <w:bidi w:val="0"/>
        <w:rPr>
          <w:rFonts w:hint="eastAsia" w:ascii="宋体" w:hAnsi="宋体" w:eastAsia="宋体" w:cs="宋体"/>
          <w:lang w:val="en-US" w:eastAsia="zh-CN"/>
        </w:rPr>
      </w:pPr>
      <w:r>
        <w:rPr>
          <w:rFonts w:hint="eastAsia" w:ascii="宋体" w:hAnsi="宋体" w:eastAsia="宋体" w:cs="宋体"/>
          <w:lang w:val="en-US" w:eastAsia="zh-CN"/>
        </w:rPr>
        <w:t>固定式生产线企业应建立产品性能检测试验室，配备粒径分析、抗压强度测试等设备；移动式生产线企业宜自建试验室，无检测条件的应委托第三方检测机构。</w:t>
      </w:r>
    </w:p>
    <w:p w14:paraId="52E1062C">
      <w:pPr>
        <w:pStyle w:val="68"/>
        <w:bidi w:val="0"/>
        <w:rPr>
          <w:rFonts w:hint="eastAsia"/>
          <w:lang w:val="en-US" w:eastAsia="zh-CN"/>
        </w:rPr>
      </w:pPr>
      <w:r>
        <w:rPr>
          <w:rFonts w:hint="eastAsia" w:ascii="宋体" w:hAnsi="宋体" w:eastAsia="宋体" w:cs="宋体"/>
          <w:lang w:val="en-US" w:eastAsia="zh-CN"/>
        </w:rPr>
        <w:t>应鼓励企业建立信息化管理系统，实时监控生产参数及环保指标。</w:t>
      </w:r>
    </w:p>
    <w:p w14:paraId="438D9DB5">
      <w:pPr>
        <w:pStyle w:val="107"/>
        <w:bidi w:val="0"/>
        <w:rPr>
          <w:rFonts w:hint="eastAsia"/>
          <w:lang w:val="en-US" w:eastAsia="zh-CN"/>
        </w:rPr>
      </w:pPr>
      <w:bookmarkStart w:id="65" w:name="_Toc2427"/>
      <w:r>
        <w:rPr>
          <w:rFonts w:hint="eastAsia"/>
          <w:lang w:val="en-US" w:eastAsia="zh-CN"/>
        </w:rPr>
        <w:t>绿色节能与低碳环保要求</w:t>
      </w:r>
      <w:bookmarkEnd w:id="65"/>
    </w:p>
    <w:p w14:paraId="16724737">
      <w:pPr>
        <w:pStyle w:val="68"/>
        <w:bidi w:val="0"/>
        <w:rPr>
          <w:rFonts w:hint="eastAsia" w:ascii="宋体" w:hAnsi="宋体" w:eastAsia="宋体" w:cs="宋体"/>
          <w:lang w:val="en-US" w:eastAsia="zh-CN"/>
        </w:rPr>
      </w:pPr>
      <w:r>
        <w:rPr>
          <w:rFonts w:hint="eastAsia" w:ascii="宋体" w:hAnsi="宋体" w:eastAsia="宋体" w:cs="宋体"/>
          <w:lang w:val="en-US" w:eastAsia="zh-CN"/>
        </w:rPr>
        <w:t>企业应建立环保与节能管理体系，制定能耗定额、减排目标。</w:t>
      </w:r>
    </w:p>
    <w:p w14:paraId="25184DA7">
      <w:pPr>
        <w:pStyle w:val="68"/>
        <w:bidi w:val="0"/>
        <w:rPr>
          <w:rFonts w:hint="eastAsia"/>
          <w:lang w:val="en-US" w:eastAsia="zh-CN"/>
        </w:rPr>
      </w:pPr>
      <w:r>
        <w:rPr>
          <w:rFonts w:hint="eastAsia" w:ascii="宋体" w:hAnsi="宋体" w:eastAsia="宋体" w:cs="宋体"/>
          <w:lang w:val="en-US" w:eastAsia="zh-CN"/>
        </w:rPr>
        <w:t>污染物排放应符合下列要求：</w:t>
      </w:r>
    </w:p>
    <w:p w14:paraId="0D8B74FF">
      <w:pPr>
        <w:pStyle w:val="177"/>
        <w:numPr>
          <w:numId w:val="34"/>
        </w:numPr>
        <w:bidi w:val="0"/>
        <w:ind w:left="851" w:leftChars="0" w:hanging="426" w:firstLineChars="0"/>
        <w:rPr>
          <w:rFonts w:hint="eastAsia"/>
          <w:lang w:val="en-US" w:eastAsia="zh-CN"/>
        </w:rPr>
      </w:pPr>
      <w:r>
        <w:rPr>
          <w:rFonts w:hint="eastAsia"/>
          <w:lang w:val="en-US" w:eastAsia="zh-CN"/>
        </w:rPr>
        <w:t>颗粒物排放浓度符合 GB 16297 要求；</w:t>
      </w:r>
    </w:p>
    <w:p w14:paraId="04F01DB6">
      <w:pPr>
        <w:pStyle w:val="177"/>
        <w:numPr>
          <w:numId w:val="34"/>
        </w:numPr>
        <w:bidi w:val="0"/>
        <w:ind w:left="851" w:leftChars="0" w:hanging="426" w:firstLineChars="0"/>
        <w:rPr>
          <w:rFonts w:hint="eastAsia"/>
          <w:lang w:val="en-US" w:eastAsia="zh-CN"/>
        </w:rPr>
      </w:pPr>
      <w:r>
        <w:rPr>
          <w:rFonts w:hint="eastAsia"/>
          <w:lang w:val="en-US" w:eastAsia="zh-CN"/>
        </w:rPr>
        <w:t>生产废水经处理后回用，实现零排放，生活污水符合 GB/T 31962 要求；</w:t>
      </w:r>
    </w:p>
    <w:p w14:paraId="11463870">
      <w:pPr>
        <w:pStyle w:val="177"/>
        <w:numPr>
          <w:numId w:val="34"/>
        </w:numPr>
        <w:bidi w:val="0"/>
        <w:ind w:left="851" w:leftChars="0" w:hanging="426" w:firstLineChars="0"/>
        <w:rPr>
          <w:rFonts w:hint="eastAsia"/>
          <w:lang w:val="en-US" w:eastAsia="zh-CN"/>
        </w:rPr>
      </w:pPr>
      <w:r>
        <w:rPr>
          <w:rFonts w:hint="eastAsia"/>
          <w:lang w:val="en-US" w:eastAsia="zh-CN"/>
        </w:rPr>
        <w:t>厂界噪声符合GB 12348要求。</w:t>
      </w:r>
    </w:p>
    <w:p w14:paraId="648BE581">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建筑垃圾资源化率应不少于95%。</w:t>
      </w:r>
    </w:p>
    <w:p w14:paraId="0B7E919D">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固定式生产线应采用封闭厂房，原料堆场应封闭或覆盖；移动式生产线应设置固定围挡（高度≥2.5m），投料区配备喷淋降尘装置。</w:t>
      </w:r>
    </w:p>
    <w:p w14:paraId="2AC87385">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厂区道路应硬化处理，配备洒水车、车辆冲洗平台，运输车辆应密闭且冲洗干净后出场。</w:t>
      </w:r>
    </w:p>
    <w:p w14:paraId="15457EBC">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环保设施应建立运行台账，定期检修并记录，确保正常运行；企业应每季度开展自行监测，监测报告保存期≥3年。</w:t>
      </w:r>
    </w:p>
    <w:p w14:paraId="027FA196">
      <w:pPr>
        <w:pStyle w:val="107"/>
        <w:bidi w:val="0"/>
        <w:rPr>
          <w:rFonts w:hint="eastAsia"/>
          <w:lang w:val="en-US" w:eastAsia="zh-CN"/>
        </w:rPr>
      </w:pPr>
      <w:bookmarkStart w:id="66" w:name="_Toc9560"/>
      <w:r>
        <w:rPr>
          <w:rFonts w:hint="eastAsia"/>
          <w:lang w:val="en-US" w:eastAsia="zh-CN"/>
        </w:rPr>
        <w:t>安全生产</w:t>
      </w:r>
      <w:bookmarkEnd w:id="66"/>
    </w:p>
    <w:p w14:paraId="5739041D">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企业应建立安全生产责任制，制定设备操作、用电、防火等专项规章制度及应急预案。</w:t>
      </w:r>
    </w:p>
    <w:p w14:paraId="1E4990B0">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破碎、筛分设备安装、调试、维修应符合GB 25520要求；设备运行时应设置警示标识，严禁违规操作。</w:t>
      </w:r>
    </w:p>
    <w:p w14:paraId="286A7C90">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配电系统设计符合GB 50054、GB 50060要求；临时用电符合JGJ 46要求，严禁私拉乱接。</w:t>
      </w:r>
    </w:p>
    <w:p w14:paraId="22805AC1">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原料、产品堆场应设置防坍塌边坡，堆放高度≤5m，符合CJJ/T 134要求。</w:t>
      </w:r>
    </w:p>
    <w:p w14:paraId="7F78BEC9">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厂区内人流、车流应分流，运输车辆符合 GB 4387 要求，严禁超载、超速。</w:t>
      </w:r>
    </w:p>
    <w:p w14:paraId="33BB6406">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消防设施设置符合GB 50016、GB 50140要求；重要区域应设置消防安全标志，符合GB 13495.1、GB 15630。</w:t>
      </w:r>
    </w:p>
    <w:p w14:paraId="7A52E6EE">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主要负责人、安全生产管理人员持证上岗率100%；特种作业人员应取得特种作业资格证；从业人员应经安全培训合格后方可上岗。</w:t>
      </w:r>
    </w:p>
    <w:p w14:paraId="4FAE50B6">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危险因素区域应设置符合GB 2894的警示标志。</w:t>
      </w:r>
    </w:p>
    <w:p w14:paraId="0E41E2D3">
      <w:pPr>
        <w:pStyle w:val="107"/>
        <w:bidi w:val="0"/>
        <w:rPr>
          <w:rFonts w:hint="eastAsia"/>
          <w:lang w:val="en-US" w:eastAsia="zh-CN"/>
        </w:rPr>
      </w:pPr>
      <w:bookmarkStart w:id="67" w:name="_Toc3059"/>
      <w:r>
        <w:rPr>
          <w:rFonts w:hint="eastAsia"/>
          <w:lang w:val="en-US" w:eastAsia="zh-CN"/>
        </w:rPr>
        <w:t>职业健康防护</w:t>
      </w:r>
      <w:bookmarkEnd w:id="67"/>
    </w:p>
    <w:p w14:paraId="1968E542">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职业健康管理应符合GBZ 188要求，企业应组织从业人员定期体检，每年至少1次，建立健康档案。</w:t>
      </w:r>
    </w:p>
    <w:p w14:paraId="4EF0F2D5">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企业应为从业人员配备符合标准的劳动防护用品。粉尘作业岗位配备防尘口罩，噪声作业岗位配备耳塞，高温作业岗位配备清凉饮品；特种防护用品应具有安全标志。</w:t>
      </w:r>
    </w:p>
    <w:p w14:paraId="1E2C5B0E">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车间一线人员每班工作时间≤8h，不得安排疲劳作业；连续作业超4h应安排不少于20min的休息时间。</w:t>
      </w:r>
    </w:p>
    <w:p w14:paraId="1CF18847">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高温作业区环境温度≤35℃，应采取通风、降温措施；高温作业时间符合GBZ/T 229.3要求。</w:t>
      </w:r>
    </w:p>
    <w:p w14:paraId="2ECC24C5">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企业应制定职业健康事故应急预案，每半年至少组织1次应急演练，配备急救箱、担架等应急器材。</w:t>
      </w:r>
    </w:p>
    <w:p w14:paraId="0A52B509">
      <w:pPr>
        <w:pStyle w:val="107"/>
        <w:bidi w:val="0"/>
        <w:rPr>
          <w:rFonts w:hint="eastAsia"/>
          <w:lang w:val="en-US" w:eastAsia="zh-CN"/>
        </w:rPr>
      </w:pPr>
      <w:bookmarkStart w:id="68" w:name="_Toc19065"/>
      <w:r>
        <w:rPr>
          <w:rFonts w:hint="eastAsia"/>
          <w:lang w:val="en-US" w:eastAsia="zh-CN"/>
        </w:rPr>
        <w:t>再生产品性能要求</w:t>
      </w:r>
      <w:bookmarkEnd w:id="68"/>
    </w:p>
    <w:p w14:paraId="29623289">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再生细骨料应符合GB/T 25176要求，再生粗骨料符合GB/T 25177要求。</w:t>
      </w:r>
    </w:p>
    <w:p w14:paraId="211C419A">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再生微粉应符合应JG/T 573要求，细度≤15%。</w:t>
      </w:r>
    </w:p>
    <w:p w14:paraId="545ECE1F">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再生矿物掺合料应符合GB/T 51003要求，活性指数（28d）≥70%。</w:t>
      </w:r>
    </w:p>
    <w:p w14:paraId="636BB6E5">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再生混凝土应符合GB 50164要求，再生骨料掺量≤30%。</w:t>
      </w:r>
    </w:p>
    <w:p w14:paraId="5A9C2D7E">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预拌砂浆：应符合GB/T 25181要求，再生细骨料掺量≤40%。</w:t>
      </w:r>
    </w:p>
    <w:p w14:paraId="5DF2E4ED">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再生砖、砌块应符合以下要求：</w:t>
      </w:r>
    </w:p>
    <w:p w14:paraId="32AACD8D">
      <w:pPr>
        <w:pStyle w:val="177"/>
        <w:numPr>
          <w:numId w:val="35"/>
        </w:numPr>
        <w:bidi w:val="0"/>
        <w:ind w:left="851" w:leftChars="0" w:hanging="426" w:firstLineChars="0"/>
        <w:rPr>
          <w:rFonts w:hint="eastAsia"/>
          <w:lang w:val="en-US" w:eastAsia="zh-CN"/>
        </w:rPr>
      </w:pPr>
      <w:r>
        <w:rPr>
          <w:rFonts w:hint="eastAsia"/>
          <w:lang w:val="en-US" w:eastAsia="zh-CN"/>
        </w:rPr>
        <w:t>烧结普通砖应符合GB/T 5101要求；</w:t>
      </w:r>
    </w:p>
    <w:p w14:paraId="5FB504EF">
      <w:pPr>
        <w:pStyle w:val="177"/>
        <w:numPr>
          <w:numId w:val="35"/>
        </w:numPr>
        <w:bidi w:val="0"/>
        <w:ind w:left="851" w:leftChars="0" w:hanging="426" w:firstLineChars="0"/>
        <w:rPr>
          <w:rFonts w:hint="eastAsia"/>
          <w:lang w:val="en-US" w:eastAsia="zh-CN"/>
        </w:rPr>
      </w:pPr>
      <w:r>
        <w:rPr>
          <w:rFonts w:hint="eastAsia"/>
          <w:lang w:val="en-US" w:eastAsia="zh-CN"/>
        </w:rPr>
        <w:t>混凝土实心砖应符合GB/T 21144要求；</w:t>
      </w:r>
    </w:p>
    <w:p w14:paraId="762BC9C2">
      <w:pPr>
        <w:pStyle w:val="177"/>
        <w:numPr>
          <w:numId w:val="35"/>
        </w:numPr>
        <w:bidi w:val="0"/>
        <w:ind w:left="851" w:leftChars="0" w:hanging="426" w:firstLineChars="0"/>
        <w:rPr>
          <w:rFonts w:hint="eastAsia"/>
          <w:lang w:val="en-US" w:eastAsia="zh-CN"/>
        </w:rPr>
      </w:pPr>
      <w:r>
        <w:rPr>
          <w:rFonts w:hint="eastAsia"/>
          <w:lang w:val="en-US" w:eastAsia="zh-CN"/>
        </w:rPr>
        <w:t>透水砖应符合GB/T 25993、CJ/T 400要求；</w:t>
      </w:r>
    </w:p>
    <w:p w14:paraId="5AC492DA">
      <w:pPr>
        <w:pStyle w:val="177"/>
        <w:numPr>
          <w:numId w:val="35"/>
        </w:numPr>
        <w:bidi w:val="0"/>
        <w:ind w:left="851" w:leftChars="0" w:hanging="426" w:firstLineChars="0"/>
        <w:rPr>
          <w:rFonts w:hint="eastAsia"/>
          <w:lang w:val="en-US" w:eastAsia="zh-CN"/>
        </w:rPr>
      </w:pPr>
      <w:r>
        <w:rPr>
          <w:rFonts w:hint="eastAsia"/>
          <w:lang w:val="en-US" w:eastAsia="zh-CN"/>
        </w:rPr>
        <w:t>普通混凝土小型砌块：符合 GB/T 8239要求。</w:t>
      </w:r>
    </w:p>
    <w:p w14:paraId="3DAB5DBD">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道路垫层/基层材料应符合JC/T 2281要求，压实度≥95%。</w:t>
      </w:r>
    </w:p>
    <w:p w14:paraId="5C6CDD37">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ascii="宋体" w:hAnsi="宋体" w:eastAsia="宋体" w:cs="宋体"/>
          <w:lang w:val="en-US" w:eastAsia="zh-CN"/>
        </w:rPr>
        <w:t>园林种植土应符合CJ/T 340要求，有机质含量≥20g/kg。</w:t>
      </w:r>
    </w:p>
    <w:p w14:paraId="5F3E3BB3">
      <w:pPr>
        <w:pStyle w:val="107"/>
        <w:bidi w:val="0"/>
        <w:rPr>
          <w:rFonts w:hint="eastAsia"/>
          <w:lang w:val="en-US" w:eastAsia="zh-CN"/>
        </w:rPr>
      </w:pPr>
      <w:bookmarkStart w:id="69" w:name="_Toc5399"/>
      <w:r>
        <w:rPr>
          <w:rFonts w:hint="eastAsia"/>
          <w:lang w:val="en-US" w:eastAsia="zh-CN"/>
        </w:rPr>
        <w:t>再生产品应用要求</w:t>
      </w:r>
      <w:bookmarkEnd w:id="69"/>
    </w:p>
    <w:p w14:paraId="4F2AA2D1">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ascii="宋体" w:hAnsi="宋体" w:eastAsia="宋体" w:cs="宋体"/>
          <w:lang w:val="en-US" w:eastAsia="zh-CN"/>
        </w:rPr>
        <w:t>再生骨料应用应符合以下要求：</w:t>
      </w:r>
    </w:p>
    <w:p w14:paraId="379AFE0A">
      <w:pPr>
        <w:pStyle w:val="177"/>
        <w:numPr>
          <w:numId w:val="36"/>
        </w:numPr>
        <w:bidi w:val="0"/>
        <w:ind w:left="851" w:leftChars="0" w:hanging="426" w:firstLineChars="0"/>
        <w:rPr>
          <w:rFonts w:hint="eastAsia"/>
          <w:lang w:val="en-US" w:eastAsia="zh-CN"/>
        </w:rPr>
      </w:pPr>
      <w:r>
        <w:rPr>
          <w:rFonts w:hint="eastAsia"/>
          <w:lang w:val="en-US" w:eastAsia="zh-CN"/>
        </w:rPr>
        <w:t>混凝土用 C30及以下非冻融、非干湿循环环境的建筑结构，掺量≤30%，符合JGJ/T 240要求；</w:t>
      </w:r>
    </w:p>
    <w:p w14:paraId="57E34949">
      <w:pPr>
        <w:pStyle w:val="177"/>
        <w:numPr>
          <w:numId w:val="36"/>
        </w:numPr>
        <w:bidi w:val="0"/>
        <w:ind w:left="851" w:leftChars="0" w:hanging="426" w:firstLineChars="0"/>
        <w:rPr>
          <w:rFonts w:hint="eastAsia"/>
          <w:lang w:val="en-US" w:eastAsia="zh-CN"/>
        </w:rPr>
      </w:pPr>
      <w:r>
        <w:rPr>
          <w:rFonts w:hint="eastAsia"/>
          <w:lang w:val="en-US" w:eastAsia="zh-CN"/>
        </w:rPr>
        <w:t>砂浆用于砌筑、抹灰砂浆，掺量≤40%，符合JGJ/T 223要求；</w:t>
      </w:r>
    </w:p>
    <w:p w14:paraId="6BF3D9CD">
      <w:pPr>
        <w:pStyle w:val="177"/>
        <w:numPr>
          <w:numId w:val="36"/>
        </w:numPr>
        <w:bidi w:val="0"/>
        <w:ind w:left="851" w:leftChars="0" w:hanging="426" w:firstLineChars="0"/>
        <w:rPr>
          <w:rFonts w:hint="eastAsia"/>
          <w:lang w:val="en-US" w:eastAsia="zh-CN"/>
        </w:rPr>
      </w:pPr>
      <w:r>
        <w:rPr>
          <w:rFonts w:hint="eastAsia"/>
          <w:lang w:val="en-US" w:eastAsia="zh-CN"/>
        </w:rPr>
        <w:t>道路用于道路基层，掺量≤50%，符合CJJ/T 134要求。</w:t>
      </w:r>
    </w:p>
    <w:p w14:paraId="0DE79635">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再生矿物掺合料用于混凝土、砂浆，掺量≤20%，符合GB/T 51003要求。</w:t>
      </w:r>
    </w:p>
    <w:p w14:paraId="0B808FEA">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再生透水混凝土应用于海绵城市透水面层、基层，符合 CJJ/T 253要求。</w:t>
      </w:r>
    </w:p>
    <w:p w14:paraId="70196856">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ascii="宋体" w:hAnsi="宋体" w:eastAsia="宋体" w:cs="宋体"/>
          <w:lang w:val="en-US" w:eastAsia="zh-CN"/>
        </w:rPr>
        <w:t>再生砖、砌块应用符合以下要求：</w:t>
      </w:r>
    </w:p>
    <w:p w14:paraId="14E65FF5">
      <w:pPr>
        <w:pStyle w:val="177"/>
        <w:numPr>
          <w:numId w:val="37"/>
        </w:numPr>
        <w:bidi w:val="0"/>
        <w:ind w:left="851" w:leftChars="0" w:hanging="426" w:firstLineChars="0"/>
        <w:rPr>
          <w:rFonts w:hint="eastAsia"/>
          <w:lang w:val="en-US" w:eastAsia="zh-CN"/>
        </w:rPr>
      </w:pPr>
      <w:r>
        <w:rPr>
          <w:rFonts w:hint="eastAsia"/>
          <w:lang w:val="en-US" w:eastAsia="zh-CN"/>
        </w:rPr>
        <w:t>承重墙体采用符合GB/T 21144的再生混凝土实心砖，砌筑符合设计要求；</w:t>
      </w:r>
    </w:p>
    <w:p w14:paraId="7A7B5E3A">
      <w:pPr>
        <w:pStyle w:val="177"/>
        <w:numPr>
          <w:numId w:val="37"/>
        </w:numPr>
        <w:bidi w:val="0"/>
        <w:ind w:left="851" w:leftChars="0" w:hanging="426" w:firstLineChars="0"/>
        <w:rPr>
          <w:rFonts w:hint="eastAsia"/>
          <w:lang w:val="en-US" w:eastAsia="zh-CN"/>
        </w:rPr>
      </w:pPr>
      <w:r>
        <w:rPr>
          <w:rFonts w:hint="eastAsia"/>
          <w:lang w:val="en-US" w:eastAsia="zh-CN"/>
        </w:rPr>
        <w:t>非承重墙体采用符合GB/T 24492的再生空心砖；</w:t>
      </w:r>
    </w:p>
    <w:p w14:paraId="05CDC523">
      <w:pPr>
        <w:pStyle w:val="177"/>
        <w:numPr>
          <w:numId w:val="37"/>
        </w:numPr>
        <w:bidi w:val="0"/>
        <w:ind w:left="851" w:leftChars="0" w:hanging="426" w:firstLineChars="0"/>
        <w:rPr>
          <w:rFonts w:hint="eastAsia"/>
          <w:lang w:val="en-US" w:eastAsia="zh-CN"/>
        </w:rPr>
      </w:pPr>
      <w:r>
        <w:rPr>
          <w:rFonts w:hint="eastAsia"/>
          <w:lang w:val="en-US" w:eastAsia="zh-CN"/>
        </w:rPr>
        <w:t>市政路面采用符合GB/T 25993的再生透水砖，用于人行道、园林小径。</w:t>
      </w:r>
    </w:p>
    <w:p w14:paraId="00B7ADDE">
      <w:pPr>
        <w:pStyle w:val="108"/>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lang w:val="en-US" w:eastAsia="zh-CN"/>
        </w:rPr>
      </w:pPr>
      <w:r>
        <w:rPr>
          <w:rFonts w:hint="eastAsia" w:ascii="宋体" w:hAnsi="宋体" w:eastAsia="宋体" w:cs="宋体"/>
          <w:lang w:val="en-US" w:eastAsia="zh-CN"/>
        </w:rPr>
        <w:t>再生园林种植土应用于草坪、灌木种植，符合 CJ/T 340要求，不得用于食用作物种植。</w:t>
      </w:r>
    </w:p>
    <w:p w14:paraId="68AAC227">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ascii="宋体" w:hAnsi="宋体" w:eastAsia="宋体" w:cs="宋体"/>
          <w:lang w:val="en-US" w:eastAsia="zh-CN"/>
        </w:rPr>
        <w:t>再生道路垫层/基层材料应用于公路、市政道路底基层，压实度≥95%，符合JC/T 2281要求</w:t>
      </w:r>
      <w:r>
        <w:rPr>
          <w:rFonts w:hint="eastAsia"/>
          <w:lang w:val="en-US" w:eastAsia="zh-CN"/>
        </w:rPr>
        <w:t>。</w:t>
      </w:r>
    </w:p>
    <w:bookmarkEnd w:id="5"/>
    <w:p w14:paraId="397AC3B9">
      <w:pPr>
        <w:pStyle w:val="235"/>
        <w:framePr w:wrap="around"/>
        <w:jc w:val="center"/>
        <w:rPr>
          <w:rFonts w:hint="default"/>
          <w:lang w:val="en-US" w:eastAsia="zh-CN"/>
        </w:rPr>
      </w:pPr>
      <w:r>
        <w:t>_________________________________</w:t>
      </w:r>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bidi w:val="0"/>
    </w:pPr>
    <w:r>
      <w:fldChar w:fldCharType="begin"/>
    </w:r>
    <w:r>
      <w:instrText xml:space="preserve"> PAGE   \* Roman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2FA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60254"/>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Roman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IV</w:t>
    </w:r>
    <w:r>
      <w:rPr>
        <w:rFonts w:ascii="等线" w:hAnsi="等线" w:eastAsia="等线" w:cs="Times New Roman"/>
        <w:kern w:val="2"/>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0E7B">
    <w:pPr>
      <w:pStyle w:val="55"/>
      <w:bidi w:val="0"/>
    </w:pPr>
    <w:r>
      <w:fldChar w:fldCharType="begin"/>
    </w:r>
    <w:r>
      <w:instrText xml:space="preserve"> PAGE   \* Arabic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4847">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59234"/>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Arabic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4</w:t>
    </w:r>
    <w:r>
      <w:rPr>
        <w:rFonts w:ascii="等线" w:hAnsi="等线" w:eastAsia="等线" w:cs="Times New Roman"/>
        <w:kern w:val="2"/>
        <w:sz w:val="18"/>
        <w:szCs w:val="18"/>
        <w:lang w:val="en-US" w:eastAsia="zh-CN" w:bidi="ar-S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5293">
    <w:pPr>
      <w:pStyle w:val="55"/>
      <w:bidi w:val="0"/>
    </w:pPr>
    <w:r>
      <w:fldChar w:fldCharType="begin"/>
    </w:r>
    <w:r>
      <w:instrText xml:space="preserve"> PAGE   \* Arabic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0B5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53982"/>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Arabic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4</w:t>
    </w:r>
    <w:r>
      <w:rPr>
        <w:rFonts w:ascii="等线" w:hAnsi="等线" w:eastAsia="等线" w:cs="Times New Roman"/>
        <w:kern w:val="2"/>
        <w:sz w:val="18"/>
        <w:szCs w:val="1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90B9">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5998">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1C62">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DB20">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CD696"/>
    <w:multiLevelType w:val="multilevel"/>
    <w:tmpl w:val="892CD69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E88E0678"/>
    <w:multiLevelType w:val="multilevel"/>
    <w:tmpl w:val="E88E067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47ABD6A"/>
    <w:multiLevelType w:val="multilevel"/>
    <w:tmpl w:val="347ABD6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AABD1BB"/>
    <w:multiLevelType w:val="multilevel"/>
    <w:tmpl w:val="4AABD1BB"/>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0E165B3"/>
    <w:multiLevelType w:val="multilevel"/>
    <w:tmpl w:val="50E165B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8FA6EB0"/>
    <w:multiLevelType w:val="multilevel"/>
    <w:tmpl w:val="58FA6EB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2"/>
  </w:num>
  <w:num w:numId="3">
    <w:abstractNumId w:val="7"/>
  </w:num>
  <w:num w:numId="4">
    <w:abstractNumId w:val="28"/>
  </w:num>
  <w:num w:numId="5">
    <w:abstractNumId w:val="22"/>
  </w:num>
  <w:num w:numId="6">
    <w:abstractNumId w:val="15"/>
  </w:num>
  <w:num w:numId="7">
    <w:abstractNumId w:val="10"/>
  </w:num>
  <w:num w:numId="8">
    <w:abstractNumId w:val="5"/>
  </w:num>
  <w:num w:numId="9">
    <w:abstractNumId w:val="11"/>
  </w:num>
  <w:num w:numId="10">
    <w:abstractNumId w:val="20"/>
  </w:num>
  <w:num w:numId="11">
    <w:abstractNumId w:val="30"/>
  </w:num>
  <w:num w:numId="12">
    <w:abstractNumId w:val="13"/>
  </w:num>
  <w:num w:numId="13">
    <w:abstractNumId w:val="16"/>
  </w:num>
  <w:num w:numId="14">
    <w:abstractNumId w:val="9"/>
  </w:num>
  <w:num w:numId="15">
    <w:abstractNumId w:val="23"/>
  </w:num>
  <w:num w:numId="16">
    <w:abstractNumId w:val="26"/>
  </w:num>
  <w:num w:numId="17">
    <w:abstractNumId w:val="21"/>
  </w:num>
  <w:num w:numId="18">
    <w:abstractNumId w:val="34"/>
  </w:num>
  <w:num w:numId="19">
    <w:abstractNumId w:val="18"/>
  </w:num>
  <w:num w:numId="20">
    <w:abstractNumId w:val="3"/>
  </w:num>
  <w:num w:numId="21">
    <w:abstractNumId w:val="12"/>
  </w:num>
  <w:num w:numId="22">
    <w:abstractNumId w:val="35"/>
  </w:num>
  <w:num w:numId="23">
    <w:abstractNumId w:val="25"/>
  </w:num>
  <w:num w:numId="24">
    <w:abstractNumId w:val="8"/>
  </w:num>
  <w:num w:numId="25">
    <w:abstractNumId w:val="31"/>
  </w:num>
  <w:num w:numId="26">
    <w:abstractNumId w:val="33"/>
  </w:num>
  <w:num w:numId="27">
    <w:abstractNumId w:val="4"/>
  </w:num>
  <w:num w:numId="28">
    <w:abstractNumId w:val="6"/>
  </w:num>
  <w:num w:numId="29">
    <w:abstractNumId w:val="17"/>
  </w:num>
  <w:num w:numId="30">
    <w:abstractNumId w:val="29"/>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A1A1D2E"/>
    <w:rsid w:val="2D88542E"/>
    <w:rsid w:val="2E0067B1"/>
    <w:rsid w:val="3029746C"/>
    <w:rsid w:val="30CD7FF2"/>
    <w:rsid w:val="30FA5A12"/>
    <w:rsid w:val="32523AAD"/>
    <w:rsid w:val="32592EEF"/>
    <w:rsid w:val="32A978B2"/>
    <w:rsid w:val="32BE2B5E"/>
    <w:rsid w:val="32F930A3"/>
    <w:rsid w:val="35E328D9"/>
    <w:rsid w:val="370C4202"/>
    <w:rsid w:val="37815996"/>
    <w:rsid w:val="37842B42"/>
    <w:rsid w:val="37B81B43"/>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35265A3"/>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4727</Words>
  <Characters>5326</Characters>
  <Lines>45</Lines>
  <Paragraphs>12</Paragraphs>
  <TotalTime>4</TotalTime>
  <ScaleCrop>false</ScaleCrop>
  <LinksUpToDate>false</LinksUpToDate>
  <CharactersWithSpaces>5438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李小客</cp:lastModifiedBy>
  <cp:lastPrinted>2025-01-06T08:01:00Z</cp:lastPrinted>
  <dcterms:modified xsi:type="dcterms:W3CDTF">2025-11-03T07:41:27Z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1A34A40265094BC28310AA74320A306F_13</vt:lpwstr>
  </property>
  <property fmtid="{D5CDD505-2E9C-101B-9397-08002B2CF9AE}" pid="16" name="KSOTemplateDocerSaveRecord">
    <vt:lpwstr>eyJoZGlkIjoiZWNlMDAzNWQyNzVkOThhY2NhZTA1Zjc3OGQ5NmI0YzUiLCJ1c2VySWQiOiIxNTY4OTU2Njc0In0=</vt:lpwstr>
  </property>
</Properties>
</file>