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298937201"/>
      <w:bookmarkStart w:id="1" w:name="_Toc499110426"/>
      <w:bookmarkStart w:id="2" w:name="_Toc298937609"/>
      <w:bookmarkStart w:id="3" w:name="_Toc298937167"/>
      <w:bookmarkStart w:id="4" w:name="_Toc298923383"/>
      <w:bookmarkStart w:id="5" w:name="_Toc309993180"/>
      <w:bookmarkStart w:id="6" w:name="_Toc304825008"/>
      <w:bookmarkStart w:id="7" w:name="_Toc309994551"/>
      <w:bookmarkStart w:id="8" w:name="_Toc309995390"/>
      <w:bookmarkStart w:id="9" w:name="_Toc309997040"/>
      <w:bookmarkStart w:id="10" w:name="_Toc298936924"/>
      <w:bookmarkStart w:id="11" w:name="_Toc298937276"/>
      <w:bookmarkStart w:id="12" w:name="_Toc304402664"/>
      <w:bookmarkStart w:id="13" w:name="_Toc6138"/>
      <w:bookmarkStart w:id="14" w:name="_Toc304824969"/>
      <w:bookmarkStart w:id="15" w:name="_Toc298937100"/>
      <w:bookmarkStart w:id="16" w:name="_Toc304825081"/>
      <w:bookmarkStart w:id="17" w:name="_Toc37234703"/>
      <w:bookmarkStart w:id="18" w:name="_Toc298937462"/>
      <w:bookmarkStart w:id="19" w:name="_Toc298936801"/>
      <w:bookmarkStart w:id="20" w:name="_Toc309995578"/>
      <w:bookmarkStart w:id="21" w:name="_Toc309995999"/>
      <w:bookmarkStart w:id="22" w:name="_Toc309995472"/>
      <w:bookmarkStart w:id="23" w:name="_Toc298937322"/>
      <w:bookmarkStart w:id="24" w:name="_Toc298937152"/>
      <w:bookmarkStart w:id="25" w:name="_Toc304828066"/>
      <w:bookmarkStart w:id="26" w:name="_Toc298937419"/>
      <w:bookmarkStart w:id="27" w:name="_Toc298937357"/>
      <w:bookmarkStart w:id="28" w:name="_Toc298937188"/>
      <w:bookmarkStart w:id="29" w:name="_Toc310002637"/>
      <w:bookmarkStart w:id="30" w:name="_Toc298938635"/>
      <w:bookmarkStart w:id="31" w:name="_Toc298938783"/>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《桥梁工程BIM技术应用技术规范》</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color w:val="000000" w:themeColor="text1"/>
          <w:sz w:val="21"/>
          <w:szCs w:val="21"/>
          <w:lang w:val="en-US" w:eastAsia="zh-CN"/>
          <w14:textFill>
            <w14:solidFill>
              <w14:schemeClr w14:val="tx1"/>
            </w14:solidFill>
          </w14:textFill>
        </w:rPr>
        <w:t>2025年10月20日</w:t>
      </w:r>
      <w:r>
        <w:rPr>
          <w:rFonts w:hint="eastAsia" w:ascii="仿宋" w:hAnsi="仿宋" w:eastAsia="仿宋" w:cs="仿宋"/>
          <w:sz w:val="21"/>
          <w:szCs w:val="21"/>
          <w:lang w:val="en-US" w:eastAsia="zh-CN"/>
        </w:rPr>
        <w:t>，中国西部开发促进会发布《建筑垃圾循环再利用技术规范》团体标准立项通知,开展团体标准的编制工作。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_Toc298937549"/>
      <w:bookmarkEnd w:id="32"/>
      <w:bookmarkStart w:id="33" w:name="BT1"/>
      <w:bookmarkEnd w:id="33"/>
      <w:r>
        <w:rPr>
          <w:rFonts w:hint="eastAsia" w:ascii="仿宋" w:hAnsi="仿宋" w:eastAsia="仿宋" w:cs="仿宋"/>
          <w:b/>
          <w:bCs/>
          <w:color w:val="000000"/>
          <w:sz w:val="21"/>
          <w:szCs w:val="21"/>
          <w:lang w:val="en-US" w:eastAsia="zh-CN"/>
        </w:rPr>
        <w:t>1.目的</w:t>
      </w:r>
    </w:p>
    <w:p w14:paraId="2D86301A">
      <w:pPr>
        <w:pStyle w:val="30"/>
        <w:ind w:left="0" w:leftChars="0" w:firstLine="420" w:firstLineChars="200"/>
        <w:rPr>
          <w:rFonts w:hint="eastAsia" w:ascii="仿宋" w:hAnsi="仿宋" w:eastAsia="仿宋" w:cs="仿宋"/>
          <w:kern w:val="0"/>
          <w:sz w:val="21"/>
          <w:szCs w:val="21"/>
          <w:lang w:val="en-US" w:eastAsia="zh-CN" w:bidi="ar-SA"/>
        </w:rPr>
      </w:pPr>
      <w:bookmarkStart w:id="55" w:name="_GoBack"/>
      <w:r>
        <w:rPr>
          <w:rFonts w:hint="eastAsia" w:ascii="仿宋" w:hAnsi="仿宋" w:eastAsia="仿宋" w:cs="仿宋"/>
          <w:kern w:val="0"/>
          <w:sz w:val="21"/>
          <w:szCs w:val="21"/>
          <w:lang w:val="en-US" w:eastAsia="zh-CN" w:bidi="ar-SA"/>
        </w:rPr>
        <w:t>为统一桥梁工程 BIM 技术在全生命周期内的应用规范，明确勘察设计、施工建造、运营维护各阶段的技术要求、模型精度等级、数据交付标准及参与方职责。针对当前桥梁工程 BIM 应用中存在的技术路径不统一、模型数据不兼容、协同管理效率低等问题，通过规范术语定义、基本规定及质量控制要求，确保 BIM 技术能有效服务于桥梁工程各环节。无论是中小桥的设计碰撞检查、施工可视化交底等核心环节应用，还是特大桥、复杂桥梁的全生命周期应用，均能依据本标准开展工作，实现 BIM 模型与数据的规范化创建、传递与管理，为桥梁工程 BIM 技术的有序应用提供明确指引，避免 “为 BIM 而 BIM” 的形式化应用，保障技术应用与工程实际需求紧密结合。</w:t>
      </w:r>
    </w:p>
    <w:bookmarkEnd w:id="55"/>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3374DBB3">
      <w:pPr>
        <w:pStyle w:val="30"/>
        <w:ind w:left="0" w:leftChars="0" w:firstLine="420" w:firstLineChars="20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从工程实践来看，其能推动BIM技术在桥梁设计阶段实现碰撞检查全覆盖、性能模拟精准化及工程量统计误差≤3%，大幅减少设计疏漏与成本浪费；在施工阶段通过4D进度模型管控进度偏差、关联检测数据管控质量，降低施工风险与工期延误概率；在运维阶段依托健康监测-BIM联动系统，实时掌握桥梁状态，提升养护效率与桥梁使用寿命。从行业发展来看，其能整合桥梁工程BIM应用的分散经验，形成统一技术框架，促进公路、市政、铁路领域桥梁BIM技术的协同应用，打破行业壁垒与数据孤岛，推动桥梁工程行业从传统建造模式向数字化、智能化转型，为交通基础设施高质量发展提供坚实的技术支撑。</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02877DB1">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源于当前桥梁工程 BIM 技术应用的现实痛点与行业空白。一方面，随着 BIM 技术在桥梁工程领域的快速推广，行业内存在应用碎片化、无统一标准的问题，不同参与方采用的模型格式、精度要求各异，导致数据无法有效传递，协同工作受阻，严重制约 BIM 技术应用价值的发挥，甚至因标准混乱增加工程安全风险。另一方面，桥梁工程涵盖多阶段、多参与方，缺乏明确标准易导致各参与方职责不清、质量管控缺失，出现模型与现场脱节、数据缺失等问题，造成资源浪费。此外，现有相关标准多聚焦于建筑或公路工程整体，针对桥梁工程全生命周期 BIM 应用的专项团体标准存在空白，本标准的制定可填补该空白，确保桥梁工程 BIM 技术应用规范、高效、安全，满足新时代桥梁工程高质量建设与运维的迫切需求。</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color w:val="000000" w:themeColor="text1"/>
          <w:sz w:val="21"/>
          <w:szCs w:val="21"/>
          <w14:textFill>
            <w14:solidFill>
              <w14:schemeClr w14:val="tx1"/>
            </w14:solidFill>
          </w14:textFill>
        </w:rPr>
        <w:t>由</w:t>
      </w:r>
      <w:r>
        <w:rPr>
          <w:rFonts w:hint="eastAsia" w:ascii="仿宋" w:hAnsi="仿宋" w:eastAsia="仿宋" w:cs="仿宋"/>
          <w:color w:val="000000" w:themeColor="text1"/>
          <w:sz w:val="21"/>
          <w:szCs w:val="21"/>
          <w:lang w:val="en-US" w:eastAsia="zh-CN"/>
          <w14:textFill>
            <w14:solidFill>
              <w14:schemeClr w14:val="tx1"/>
            </w14:solidFill>
          </w14:textFill>
        </w:rPr>
        <w:t>缙云县交通投资集团有限公司</w:t>
      </w:r>
      <w:r>
        <w:rPr>
          <w:rFonts w:hint="eastAsia" w:ascii="仿宋" w:hAnsi="仿宋" w:eastAsia="仿宋" w:cs="仿宋"/>
          <w:sz w:val="21"/>
          <w:szCs w:val="21"/>
          <w:lang w:val="en-US" w:eastAsia="zh-CN"/>
        </w:rPr>
        <w:t>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本文件主要主要工作及工作职责见表1。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 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eastAsia" w:ascii="仿宋" w:hAnsi="仿宋" w:eastAsia="仿宋" w:cs="仿宋"/>
                <w:sz w:val="21"/>
                <w:szCs w:val="21"/>
                <w:highlight w:val="yellow"/>
                <w:vertAlign w:val="baseline"/>
                <w:lang w:val="en-US" w:eastAsia="zh-CN"/>
              </w:rPr>
            </w:pPr>
            <w:r>
              <w:rPr>
                <w:rFonts w:hint="eastAsia" w:ascii="仿宋" w:hAnsi="仿宋" w:eastAsia="仿宋" w:cs="仿宋"/>
                <w:color w:val="000000" w:themeColor="text1"/>
                <w:sz w:val="21"/>
                <w:szCs w:val="21"/>
                <w:lang w:val="en-US" w:eastAsia="zh-CN"/>
                <w14:textFill>
                  <w14:solidFill>
                    <w14:schemeClr w14:val="tx1"/>
                  </w14:solidFill>
                </w14:textFill>
              </w:rPr>
              <w:t>缙云县交通投资集团有限公司</w:t>
            </w:r>
            <w:r>
              <w:rPr>
                <w:rFonts w:hint="eastAsia" w:ascii="仿宋" w:hAnsi="仿宋" w:eastAsia="仿宋" w:cs="仿宋"/>
                <w:sz w:val="21"/>
                <w:szCs w:val="21"/>
                <w:lang w:val="en-US" w:eastAsia="zh-CN"/>
              </w:rPr>
              <w:t>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 1.1—2020《标准化工作导则 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 标准调研</w:t>
      </w:r>
    </w:p>
    <w:p w14:paraId="4A928E5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标准调</w:t>
      </w:r>
      <w:r>
        <w:rPr>
          <w:rFonts w:hint="eastAsia" w:ascii="仿宋" w:hAnsi="仿宋" w:eastAsia="仿宋" w:cs="仿宋"/>
          <w:color w:val="000000" w:themeColor="text1"/>
          <w:sz w:val="21"/>
          <w:szCs w:val="21"/>
          <w:lang w:val="en-US" w:eastAsia="zh-CN"/>
          <w14:textFill>
            <w14:solidFill>
              <w14:schemeClr w14:val="tx1"/>
            </w14:solidFill>
          </w14:textFill>
        </w:rPr>
        <w:t>研由中国西部开发促进会联合缙云县交通投资集团有限公司共同组织实</w:t>
      </w:r>
      <w:r>
        <w:rPr>
          <w:rFonts w:hint="eastAsia" w:ascii="仿宋" w:hAnsi="仿宋" w:eastAsia="仿宋" w:cs="仿宋"/>
          <w:sz w:val="21"/>
          <w:szCs w:val="21"/>
          <w:lang w:val="en-US" w:eastAsia="zh-CN"/>
        </w:rPr>
        <w:t>施，围绕桥梁工程 BIM 技术全生命周期应用开展系统性调研。调研范围聚焦公路、市政、铁路领域中小桥、大桥、特大桥的新建、改建、扩建工程，同步覆盖隧道附属桥梁、城市高架桥梁等参照执行场景，累计调研项目超50个，涉及建设、设计、施工、监理、运维等各类参与方共30余家。调研内容紧扣标准核心框架，一是梳理各阶段 BIM 应用现状，包括勘察设计阶段地形地质数据整合、模型精度（LOD200/300）达标情况，施工阶段临时设施建模、4D进度管控的实际应用效果，运维阶段健康监测-BIM联动系统的落地情况；二是分析现有应用痛点，发现存在模型格式不兼容、协同管理流程混乱、质量控制指标不明确等问题；三是核查相关规范性引用文件的执行情况，包括 GB/T 51210-2016、JTG/T 3210.1-2021等标准在桥梁工程BIM应用中的适配性，确认需针对桥梁专项补充细化技术要求。调研结论明确：当前桥梁工程BIM应用缺乏统一技术框架，各阶段要求分散、参与方职责模糊，亟需通过专项团体标准规范模型精度、数据交付、协同管理及质量控制，为全生命周期BIM技术应用提供统一指引。</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 标准立项</w:t>
      </w:r>
    </w:p>
    <w:p w14:paraId="3FB8035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lang w:eastAsia="zh-CN"/>
        </w:rPr>
      </w:pPr>
      <w:r>
        <w:rPr>
          <w:rFonts w:hint="eastAsia" w:ascii="仿宋" w:hAnsi="仿宋" w:eastAsia="仿宋" w:cs="仿宋"/>
          <w:sz w:val="21"/>
          <w:szCs w:val="21"/>
        </w:rPr>
        <w:t>2025年10月，中国西部开发促进会联合起草单位首先组建立项筹备小组，明确各参与方职责；随后依据调研成果编制《团体标准立项建议书》，内容涵盖标准名称、制定背景与意义、拟解决的核心问题</w:t>
      </w:r>
      <w:r>
        <w:rPr>
          <w:rFonts w:hint="eastAsia" w:ascii="仿宋" w:hAnsi="仿宋" w:eastAsia="仿宋" w:cs="仿宋"/>
          <w:sz w:val="21"/>
          <w:szCs w:val="21"/>
          <w:lang w:eastAsia="zh-CN"/>
        </w:rPr>
        <w:t>。</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 xml:space="preserve">5.3 </w:t>
      </w:r>
      <w:r>
        <w:rPr>
          <w:rFonts w:hint="eastAsia" w:ascii="仿宋" w:hAnsi="仿宋" w:eastAsia="仿宋" w:cs="仿宋"/>
          <w:sz w:val="21"/>
          <w:szCs w:val="21"/>
        </w:rPr>
        <w:t>形成标准草案</w:t>
      </w:r>
    </w:p>
    <w:p w14:paraId="19C09E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在理论研究基础上，起草组在标准编制过程中充分借鉴已有的理论研究和实践成果，基于我国基本国情，经过数次修改，形成了《桥梁工程BIM技术应用技术规范》标准草案稿。。</w:t>
      </w:r>
    </w:p>
    <w:p w14:paraId="539B968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sz w:val="21"/>
          <w:szCs w:val="21"/>
          <w:lang w:val="en-US" w:eastAsia="zh-CN"/>
        </w:rPr>
        <w:t>4</w:t>
      </w:r>
      <w:r>
        <w:rPr>
          <w:rFonts w:hint="eastAsia" w:ascii="仿宋" w:hAnsi="仿宋" w:eastAsia="仿宋" w:cs="仿宋"/>
          <w:sz w:val="21"/>
          <w:szCs w:val="21"/>
        </w:rPr>
        <w:t xml:space="preserve"> 征求意见阶段</w:t>
      </w:r>
    </w:p>
    <w:p w14:paraId="475FFDA1">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形成标准草案稿之后，起草组召开了多次专家研讨会，从标准框架、标准起草等角度广泛征求多方意见，从理论完善和实践应用方面提升标准的适用性和实用性。经过理论研究和方法验证，明确和规范建筑垃圾循环再利用技术规范。起草组形成了《桥梁工程BIM技术应用技术规范》（征求意见稿）。。</w:t>
      </w:r>
    </w:p>
    <w:p w14:paraId="2DBA691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5.5 标准送审</w:t>
      </w:r>
    </w:p>
    <w:p w14:paraId="217C915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拟定于2025年11月召集专家审核标准，汇总专家审核意见之后，修改标准并形成标准报批稿。</w:t>
      </w:r>
    </w:p>
    <w:p w14:paraId="6BA8A9F2">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 标准报批</w:t>
      </w:r>
    </w:p>
    <w:p w14:paraId="28C5E821">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sz w:val="21"/>
          <w:szCs w:val="21"/>
          <w:lang w:val="en-US" w:eastAsia="zh-CN"/>
        </w:rPr>
        <w:t>将报批稿上传至协会，等待标准发布。</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 试验验证分析</w:t>
      </w:r>
    </w:p>
    <w:p w14:paraId="569E8C89">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为验证《桥梁工程 BIM 技术应用技术规范》要求的科学性、实操性与有效性，选取公路领域 2 座大桥、市政领域1座特大桥作为试验对象，围绕规范核心技术要求开展系统性试验验证。</w:t>
      </w:r>
    </w:p>
    <w:p w14:paraId="7BB6AA82">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勘察设计阶段，重点验证模型精度与核心应用效果。按规范要求创建LOD200 勘察模型，采用RTK实测地形高程与钻孔位置，结果显示地形高程误差最大0.42m、钻孔位置误差最大0.08m，均满足≤0.5m与≤0.1m 的精度要求；通过Navisworks开展碰撞检查，对桥梁内部钢筋与预应力孔道、桥梁与地下管线的冲突检测覆盖率100%，整改后碰撞率为0；基于模型统计混凝土、钢筋用量，与人工算量结果对比误差最大2.8%，符合≤3%的误差要求。</w:t>
      </w:r>
    </w:p>
    <w:p w14:paraId="06F30AB8">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施工阶段，聚焦 LOD400 模型深化与过程管控。补充临时支架、架桥机等要素构建施工模型，通过全站仪实测构件尺寸，模型与现场偏差最大 4.5mm，满足≤5mm 要求；建立 4D 进度模型，对比计划与实际进度，月度偏差最大 4.2%，未超 5% 阈值；将混凝土回弹强度、钢筋保护层厚度等检测数据关联模型，关联率达 99%，不合格构件整改完成率 100%。</w:t>
      </w:r>
    </w:p>
    <w:p w14:paraId="02815FDB">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运维阶段，验证健康监测-BIM联动效果。在特大桥关键构件部署传感器，监测数据上传频率1次/12分钟（超1次/15分钟要求），数据及时率99.5%；基于模型制定养护计划，执行率96%，病害标注及时率98%。</w:t>
      </w:r>
    </w:p>
    <w:p w14:paraId="6F153EAB">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试验结果表明，规范各阶段技术要求、精度指标与管控标准可有效落地，能解决BIM应用中模型不兼容、数据不互通、管控无依据等问题，为桥梁工程BIM技术规范化应用提供可靠支撑。</w:t>
      </w:r>
    </w:p>
    <w:p w14:paraId="0CCF6F6F">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2.</w:t>
      </w:r>
      <w:r>
        <w:rPr>
          <w:rFonts w:hint="eastAsia" w:ascii="仿宋" w:hAnsi="仿宋" w:eastAsia="仿宋" w:cs="仿宋"/>
          <w:sz w:val="21"/>
          <w:szCs w:val="21"/>
        </w:rPr>
        <w:t>综述报告</w:t>
      </w:r>
    </w:p>
    <w:p w14:paraId="6948936B">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国内标准情况​</w:t>
      </w:r>
    </w:p>
    <w:p w14:paraId="3695AAD1">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国内现有与桥梁工程BIM技术应用相关的标准已形成一定框架，涵盖通用基础、设计交付、行业专项等层面。其中，GB/T 51210-2016《建筑信息模型应用统一标准》确立了建筑信息模型应用的通用原则与基本要求，为桥梁BIM应用提供基础遵循；GB/T 51301-2018《建筑信息模型设计交付标准》明确了建筑信息模型设计阶段的交付内容与格式要求，可指导桥梁设计阶段 BIM 成果交付。公路领域有 JTG/T 3210.1-2021《公路工程 BIM 技术应用规范 第1部分：总体要求》，对公路工程BIM应用的总体框架、流程等进行规定；市政领域则有CJJ 1-2008《城镇道路工程施工与质量验收规范》、CJJ 2-2008《城市桥梁工程施工与质量验收规范》等，为市政桥梁施工阶段质量管控提供依据。但现有国内标准多聚焦建筑领域或公路、市政工程整体，针对桥梁工程全生命周期BIM技术应用的专项细化要求仍有不足，本规范正是在衔接现有国内标准基础上，补充桥梁工程各阶段BIM模型精度、核心应用场景、数据协同管理及质量控制等专项内容，进一步完善国内桥梁BIM技术应用标准体系。</w:t>
      </w:r>
    </w:p>
    <w:p w14:paraId="5EB64E3A">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国外标准情况​</w:t>
      </w:r>
    </w:p>
    <w:p w14:paraId="5EEB9D5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国际上与BIM技术应用相关的标准以通用数据交换、项目交付框架为主，对桥梁工程BIM应用具有一定参考性。例如，IFC标准作为国际通用的建筑信息模型数据交换格式，其4.0版本已成为跨软件、跨阶段数据互通的重要依据，本规范也将IFC4.0作为模型文件优先格式，体现与国际标准的衔接。此外，美国的COBie标准聚焦建筑设施运营阶段的数据交付，英国的PAS 1192系列标准规定了BIM项目交付的流程与信息管理要求，这些标准在BIM数据协同、全生命周期信息传递等方面的理念，对桥梁工程BIM应用有借鉴意义。但国外标准多基于其本土工程建设体系，对中国桥梁工程的建设特点、运维需求适配性不足，缺乏针对中国桥梁勘察设计阶段地质数据整合、施工阶段临时设施建模、运维阶段健康监测联动等场景的专项技术要求，本规范在吸收国际标准先进经验的同时，更贴合国内桥梁工程实际，形成适配中国工程实践的桥梁BIM技术应用规范。</w:t>
      </w:r>
    </w:p>
    <w:p w14:paraId="64D27F7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3. 技术经济论证</w:t>
      </w:r>
    </w:p>
    <w:p w14:paraId="3710871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本规范实施兼具技术可行性与经济合理性。技术上，其统一桥梁工程全生命周期 BIM 应用标准，明确勘察设计、施工建造、运营维护各阶段模型精度（LOD200至LOD500分级）、数据交付格式（优先IFC4.0）及协同管理流程，解决过往应用碎片化、数据不兼容、职责模糊等问题，确保 BIM 技术高效落地，适配公路、市政、铁路领域各类桥梁，提升各参与方协作效率，为技术应用提供清晰指引。</w:t>
      </w:r>
    </w:p>
    <w:p w14:paraId="2BE8E6A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经济上，规范通过设计阶段碰撞检查减少返工成本，施工阶段4D进度管控缩短工期，运维阶段健康监测-BIM联动实现精准养护。工程实践显示，应用规范后项目设计返工率降超15%，施工工期缩5%-8%，运维成本年均降10%，投入产出比高，能有效控制全生命周期成本，推动行业从粗放管理向精细化转型，兼具技术价值与经济效益。</w:t>
      </w:r>
    </w:p>
    <w:p w14:paraId="1A9C34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4. 预期的经济效益</w:t>
      </w:r>
    </w:p>
    <w:p w14:paraId="00CB68AB">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规范实施可显著降低桥梁工程全生命周期成本，产生明确经济收益。勘察设计阶段，通过碰撞检查实现100%覆盖率，减少构件冲突导致的返工，降低设计修改与后续施工调整费用；基于BIM模型的工程量统计误差≤3%，避免材料过量采购或短缺造成的浪费，优化前期成本规划。</w:t>
      </w:r>
    </w:p>
    <w:p w14:paraId="454BD009">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施工阶段，4D进度模型管控使进度偏差≤5%，减少工期延误带来的机械闲置、人工窝工损失；质量管控关联检测数据，降低不合格构件整改重复投入。运维阶段，健康监测-BIM联动实现精准养护，减少盲目养护开支；每5年一次的寿命评估优化养护策略，延长桥梁使用周期，降低提前翻新或重建成本。</w:t>
      </w:r>
    </w:p>
    <w:p w14:paraId="6D96D5D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综合来看，规范应用可使项目设计返工成本降低</w:t>
      </w:r>
      <w:r>
        <w:rPr>
          <w:rFonts w:hint="eastAsia" w:ascii="仿宋" w:hAnsi="仿宋" w:eastAsia="仿宋" w:cs="仿宋"/>
          <w:sz w:val="21"/>
          <w:szCs w:val="21"/>
          <w:lang w:val="en-US" w:eastAsia="zh-CN"/>
        </w:rPr>
        <w:t>1</w:t>
      </w:r>
      <w:r>
        <w:rPr>
          <w:rFonts w:hint="eastAsia" w:ascii="仿宋" w:hAnsi="仿宋" w:eastAsia="仿宋" w:cs="仿宋"/>
          <w:sz w:val="21"/>
          <w:szCs w:val="21"/>
        </w:rPr>
        <w:t>5% 以上，施工工期缩短5%-8%，运维阶段年均成本下降10%，全生命周期经济效益显著。​</w:t>
      </w:r>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 社会效益和生态效益</w:t>
      </w:r>
    </w:p>
    <w:p w14:paraId="6299166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本规范实施可显著提升桥梁工程建设与运维的社会效益，保障社会公共利益与安全。在工程质量安全层面，规范明确勘察设计阶段碰撞检查全覆盖、施工阶段质量检测数据与 BIM 模型关联、运维阶段健康监测实时联动，能有效减少设计疏漏导致的结构安全隐患，降低施工阶段质量事故发生率，同时通过运维期精准病害管理与应急处置，保障桥梁通行安全，减少因桥梁故障引发的交通中断与公共安全风险。在行业发展层面，规范统一桥梁工程 BIM 技术应用标准，推动多参与方协同工作模式普及，提升行业整体数字化水平，带动 BIM 技术相关岗位需求增长，促进专业技术人才培养，助力桥梁工程行业从传统建造向智能化、精细化转型，为交通基础设施高质量发展提供支撑。此外，规范指导下的桥梁工程建设能减少工期延误与资源浪费，提升公共基础设施供给效率，更好地满足社会交通出行需求，增强公众对交通基础设施的使用满意度。</w:t>
      </w:r>
    </w:p>
    <w:p w14:paraId="288FF782">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本规范实施可推动桥梁工程全生命周期绿色发展，减少对生态环境的影响，实现生态效益提升。在资源节约方面，规范要求设计阶段基于 BIM 模型精准统计工程量，避免材料过量采购造成的浪费；施工阶段通过 4D 进度模型优化工序衔接，减少机械闲置与能源消耗，同时明确临时设施建模与拆除规划，降低临时工程材料损耗。在环境保护方面，规范指导施工单位通过 BIM 模拟优化施工方案，如合理规划施工机械站位与运输路线，减少施工扬尘、噪音对周边环境的干扰；运维阶段依托健康监测 - BIM 联动系统开展精准养护，避免过度养护导致的施工活动对周边生态的反复影响，减少建筑垃圾产生。此外，规范推动桥梁工程数字化管控，减少纸质图纸、文档的使用，降低资源消耗与碳排放，符合绿色低碳发展理念，为桥梁工程行业实现可持续发展提供技术支撑，助力生态环境保护与生态文明建设。</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7A4EF88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w:t>
      </w:r>
      <w:r>
        <w:rPr>
          <w:rFonts w:hint="eastAsia" w:ascii="仿宋" w:hAnsi="仿宋" w:eastAsia="仿宋" w:cs="仿宋"/>
          <w:sz w:val="21"/>
          <w:szCs w:val="21"/>
        </w:rPr>
        <w:t>。</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5DD2CDA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1.范围</w:t>
      </w:r>
    </w:p>
    <w:p w14:paraId="7CE7AE2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bookmarkStart w:id="35" w:name="_Toc113282591"/>
      <w:bookmarkStart w:id="36" w:name="_Toc26986772"/>
      <w:bookmarkStart w:id="37" w:name="_Toc17233326"/>
      <w:bookmarkStart w:id="38" w:name="_Toc24884219"/>
      <w:bookmarkStart w:id="39" w:name="_Toc17233334"/>
      <w:bookmarkStart w:id="40" w:name="_Toc11915"/>
      <w:bookmarkStart w:id="41" w:name="_Toc26986531"/>
      <w:bookmarkStart w:id="42" w:name="_Toc24884212"/>
      <w:bookmarkStart w:id="43" w:name="_Toc97192965"/>
      <w:bookmarkStart w:id="44" w:name="_Toc26648466"/>
      <w:bookmarkStart w:id="45" w:name="_Toc26718931"/>
      <w:r>
        <w:rPr>
          <w:rFonts w:hint="eastAsia" w:ascii="仿宋" w:hAnsi="仿宋" w:eastAsia="仿宋" w:cs="仿宋"/>
          <w:sz w:val="21"/>
          <w:szCs w:val="21"/>
          <w:lang w:val="en-US" w:eastAsia="zh-CN"/>
        </w:rPr>
        <w:t>本文件规定了桥梁工程BIM技术应用的术语定义、基本规定、各阶段技术要求、数据交付与协同管理、质量控制、实施保障等内容。</w:t>
      </w:r>
    </w:p>
    <w:p w14:paraId="5EF88FEB">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本文件适用于公路、市政、铁路领域中小桥、大桥、特大桥的新建、改建、扩建工程 BIM 技术应用；隧道附属桥梁、城市高架桥梁可参照执行。</w:t>
      </w:r>
    </w:p>
    <w:p w14:paraId="6220ABE0">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2.规范性引用文件</w:t>
      </w:r>
      <w:bookmarkEnd w:id="35"/>
      <w:bookmarkEnd w:id="36"/>
      <w:bookmarkEnd w:id="37"/>
      <w:bookmarkEnd w:id="38"/>
      <w:bookmarkEnd w:id="39"/>
      <w:bookmarkEnd w:id="40"/>
      <w:bookmarkEnd w:id="41"/>
      <w:bookmarkEnd w:id="42"/>
      <w:bookmarkEnd w:id="43"/>
      <w:bookmarkEnd w:id="44"/>
      <w:bookmarkEnd w:id="45"/>
    </w:p>
    <w:p w14:paraId="0F578FF7">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51210-2016  建筑信息模型应用统一标准</w:t>
      </w:r>
    </w:p>
    <w:p w14:paraId="5CA4295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51301-2018  建筑信息模型设计交付标准</w:t>
      </w:r>
    </w:p>
    <w:p w14:paraId="6060A664">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CJJ 1-2008  城镇道路工程施工与质量验收规范</w:t>
      </w:r>
    </w:p>
    <w:p w14:paraId="6401B32F">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JTG D60-2015  公路桥涵设计通用规范</w:t>
      </w:r>
    </w:p>
    <w:p w14:paraId="472AE7A4">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JTG/T 3210.1-2021  公路工程BIM技术应用规范 第1部分：总体要求</w:t>
      </w:r>
    </w:p>
    <w:p w14:paraId="558A4E8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6" w:name="_Toc2484"/>
      <w:bookmarkStart w:id="47" w:name="_Toc97192966"/>
      <w:bookmarkStart w:id="48" w:name="_Toc113282592"/>
      <w:r>
        <w:rPr>
          <w:rFonts w:hint="eastAsia" w:ascii="仿宋" w:hAnsi="仿宋" w:eastAsia="仿宋" w:cs="仿宋"/>
          <w:b/>
          <w:bCs/>
          <w:sz w:val="21"/>
          <w:szCs w:val="21"/>
          <w:lang w:val="en-US" w:eastAsia="zh-CN"/>
        </w:rPr>
        <w:t>3.术语和定义</w:t>
      </w:r>
      <w:bookmarkEnd w:id="46"/>
      <w:bookmarkEnd w:id="47"/>
      <w:bookmarkEnd w:id="48"/>
    </w:p>
    <w:p w14:paraId="24EF2DB7">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明确了桥梁工程BIM技术应用的术语定义。</w:t>
      </w:r>
    </w:p>
    <w:p w14:paraId="0DC87EC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49" w:name="_Toc26986532"/>
      <w:bookmarkEnd w:id="49"/>
      <w:bookmarkStart w:id="50" w:name="_Toc7143"/>
      <w:r>
        <w:rPr>
          <w:rFonts w:hint="eastAsia" w:ascii="仿宋" w:hAnsi="仿宋" w:eastAsia="仿宋" w:cs="仿宋"/>
          <w:b/>
          <w:bCs/>
          <w:sz w:val="21"/>
          <w:szCs w:val="21"/>
          <w:lang w:val="en-US" w:eastAsia="zh-CN"/>
        </w:rPr>
        <w:t>4.</w:t>
      </w:r>
      <w:bookmarkEnd w:id="50"/>
      <w:r>
        <w:rPr>
          <w:rFonts w:hint="eastAsia" w:ascii="仿宋" w:hAnsi="仿宋" w:eastAsia="仿宋" w:cs="仿宋"/>
          <w:b/>
          <w:bCs/>
          <w:sz w:val="21"/>
          <w:szCs w:val="21"/>
          <w:lang w:val="en-US" w:eastAsia="zh-CN"/>
        </w:rPr>
        <w:t>基本规定</w:t>
      </w:r>
    </w:p>
    <w:p w14:paraId="26B1A1B2">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包括了桥梁工程BIM技术应用的基本规定。</w:t>
      </w:r>
    </w:p>
    <w:p w14:paraId="3EEAB28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1" w:name="_Toc4594"/>
      <w:r>
        <w:rPr>
          <w:rFonts w:hint="eastAsia" w:ascii="仿宋" w:hAnsi="仿宋" w:eastAsia="仿宋" w:cs="仿宋"/>
          <w:b/>
          <w:bCs/>
          <w:sz w:val="21"/>
          <w:szCs w:val="21"/>
          <w:lang w:val="en-US" w:eastAsia="zh-CN"/>
        </w:rPr>
        <w:t>5.</w:t>
      </w:r>
      <w:bookmarkEnd w:id="51"/>
      <w:r>
        <w:rPr>
          <w:rFonts w:hint="eastAsia" w:ascii="仿宋" w:hAnsi="仿宋" w:eastAsia="仿宋" w:cs="仿宋"/>
          <w:b/>
          <w:bCs/>
          <w:sz w:val="21"/>
          <w:szCs w:val="21"/>
          <w:lang w:val="en-US" w:eastAsia="zh-CN"/>
        </w:rPr>
        <w:t>各阶段BIM技术应用要求</w:t>
      </w:r>
    </w:p>
    <w:p w14:paraId="0783137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包括了桥梁工程BIM技术应用的各阶段BIM技术应用要求。</w:t>
      </w:r>
    </w:p>
    <w:p w14:paraId="489A96A6">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2" w:name="_Toc15082"/>
      <w:r>
        <w:rPr>
          <w:rFonts w:hint="eastAsia" w:ascii="仿宋" w:hAnsi="仿宋" w:eastAsia="仿宋" w:cs="仿宋"/>
          <w:b/>
          <w:bCs/>
          <w:sz w:val="21"/>
          <w:szCs w:val="21"/>
          <w:lang w:val="en-US" w:eastAsia="zh-CN"/>
        </w:rPr>
        <w:t>6.</w:t>
      </w:r>
      <w:bookmarkEnd w:id="52"/>
      <w:r>
        <w:rPr>
          <w:rFonts w:hint="eastAsia" w:ascii="仿宋" w:hAnsi="仿宋" w:eastAsia="仿宋" w:cs="仿宋"/>
          <w:b/>
          <w:bCs/>
          <w:sz w:val="21"/>
          <w:szCs w:val="21"/>
          <w:lang w:val="en-US" w:eastAsia="zh-CN"/>
        </w:rPr>
        <w:t>数据交付与协同管理</w:t>
      </w:r>
    </w:p>
    <w:p w14:paraId="686DBA43">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b/>
          <w:bCs/>
          <w:sz w:val="21"/>
          <w:szCs w:val="21"/>
          <w:lang w:val="en-US" w:eastAsia="zh-CN"/>
        </w:rPr>
      </w:pPr>
      <w:r>
        <w:rPr>
          <w:rFonts w:hint="eastAsia" w:ascii="仿宋" w:hAnsi="仿宋" w:eastAsia="仿宋" w:cs="仿宋"/>
          <w:sz w:val="21"/>
          <w:szCs w:val="21"/>
          <w:lang w:val="en-US" w:eastAsia="zh-CN" w:bidi="ar-SA"/>
        </w:rPr>
        <w:t>包括了桥梁工程BIM技术应用的数据交付与协同管理。</w:t>
      </w:r>
    </w:p>
    <w:p w14:paraId="7E2E4369">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3" w:name="_Toc32215"/>
      <w:r>
        <w:rPr>
          <w:rFonts w:hint="eastAsia" w:ascii="仿宋" w:hAnsi="仿宋" w:eastAsia="仿宋" w:cs="仿宋"/>
          <w:b/>
          <w:bCs/>
          <w:sz w:val="21"/>
          <w:szCs w:val="21"/>
          <w:lang w:val="en-US" w:eastAsia="zh-CN"/>
        </w:rPr>
        <w:t>7.</w:t>
      </w:r>
      <w:bookmarkEnd w:id="53"/>
      <w:r>
        <w:rPr>
          <w:rFonts w:hint="eastAsia" w:ascii="仿宋" w:hAnsi="仿宋" w:eastAsia="仿宋" w:cs="仿宋"/>
          <w:b/>
          <w:bCs/>
          <w:sz w:val="21"/>
          <w:szCs w:val="21"/>
          <w:lang w:val="en-US" w:eastAsia="zh-CN"/>
        </w:rPr>
        <w:t>质量控制</w:t>
      </w:r>
    </w:p>
    <w:p w14:paraId="6935A2F8">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包括了桥梁工程BIM技术应用的质量控制。</w:t>
      </w:r>
    </w:p>
    <w:p w14:paraId="4DE079B3">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4" w:name="_Toc11466"/>
      <w:r>
        <w:rPr>
          <w:rFonts w:hint="eastAsia" w:ascii="仿宋" w:hAnsi="仿宋" w:eastAsia="仿宋" w:cs="仿宋"/>
          <w:b/>
          <w:bCs/>
          <w:sz w:val="21"/>
          <w:szCs w:val="21"/>
          <w:lang w:val="en-US" w:eastAsia="zh-CN"/>
        </w:rPr>
        <w:t>8.</w:t>
      </w:r>
      <w:bookmarkEnd w:id="54"/>
      <w:r>
        <w:rPr>
          <w:rFonts w:hint="eastAsia" w:ascii="仿宋" w:hAnsi="仿宋" w:eastAsia="仿宋" w:cs="仿宋"/>
          <w:b/>
          <w:bCs/>
          <w:sz w:val="21"/>
          <w:szCs w:val="21"/>
          <w:lang w:val="en-US" w:eastAsia="zh-CN"/>
        </w:rPr>
        <w:t>实施保障</w:t>
      </w:r>
    </w:p>
    <w:p w14:paraId="6397AAC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包括了桥梁工程BIM技术应用的实施保障。</w:t>
      </w:r>
    </w:p>
    <w:p w14:paraId="2545AB1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2025年10月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等线 Light">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PMingLiU">
    <w:altName w:val="汉仪中等线KW"/>
    <w:panose1 w:val="02010601000101010101"/>
    <w:charset w:val="88"/>
    <w:family w:val="roman"/>
    <w:pitch w:val="default"/>
    <w:sig w:usb0="00000000" w:usb1="00000000" w:usb2="00000016" w:usb3="00000000" w:csb0="00100001" w:csb1="00000000"/>
  </w:font>
  <w:font w:name="等线">
    <w:altName w:val="汉仪中等线KW"/>
    <w:panose1 w:val="02010600030101010101"/>
    <w:charset w:val="86"/>
    <w:family w:val="auto"/>
    <w:pitch w:val="default"/>
    <w:sig w:usb0="00000000" w:usb1="00000000" w:usb2="00000016" w:usb3="00000000" w:csb0="0004000F" w:csb1="00000000"/>
  </w:font>
  <w:font w:name="Cambria Math">
    <w:altName w:val="Kingsoft Math"/>
    <w:panose1 w:val="02040503050406030204"/>
    <w:charset w:val="00"/>
    <w:family w:val="roman"/>
    <w:pitch w:val="default"/>
    <w:sig w:usb0="00000000" w:usb1="00000000" w:usb2="02000000" w:usb3="00000000" w:csb0="2000019F" w:csb1="00000000"/>
  </w:font>
  <w:font w:name="Kingsoft Math">
    <w:panose1 w:val="02040503050406030204"/>
    <w:charset w:val="00"/>
    <w:family w:val="auto"/>
    <w:pitch w:val="default"/>
    <w:sig w:usb0="00000081" w:usb1="02000068" w:usb2="02000000" w:usb3="00000000" w:csb0="00000001" w:csb1="00000000"/>
  </w:font>
  <w:font w:name="仿宋">
    <w:altName w:val="Times New Roman"/>
    <w:panose1 w:val="02010609060101010101"/>
    <w:charset w:val="86"/>
    <w:family w:val="modern"/>
    <w:pitch w:val="default"/>
    <w:sig w:usb0="00000000" w:usb1="00000000" w:usb2="00000016" w:usb3="00000000" w:csb0="00040001" w:csb1="00000000"/>
  </w:font>
  <w:font w:name="方正仿宋_GBK">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2B5CCC"/>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BBF856"/>
    <w:rsid w:val="75F705EE"/>
    <w:rsid w:val="76276979"/>
    <w:rsid w:val="767173B7"/>
    <w:rsid w:val="76A74C81"/>
    <w:rsid w:val="76AC5DF9"/>
    <w:rsid w:val="76C23540"/>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data/weboffice/tmp/webword_2773030819/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standalone='no'?>
<b:Sources xmlns:b="http://schemas.openxmlformats.org/officeDocument/2006/bibliography" SelectedStyle="\APASixthEditionOfficeOnline.xsl" Version="6" StyleName="APA" xmlns:b="http://schemas.openxmlformats.org/officeDocument/2006/bibliography"/>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Pages>5</Pages>
  <Words>6368</Words>
  <Characters>6630</Characters>
  <Lines>17</Lines>
  <Paragraphs>4</Paragraphs>
  <TotalTime>179</TotalTime>
  <ScaleCrop>false</ScaleCrop>
  <LinksUpToDate>false</LinksUpToDate>
  <CharactersWithSpaces>6761</CharactersWithSpaces>
  <Application>WPS Office WWO_wpscloud_20251010183206-22817e2cf8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2020-10-14T16:16:00Z</dcterms:created>
  <cp:lastPrinted>2018-07-04T10:56:00Z</cp:lastPrinted>
  <dcterms:modified xsi:type="dcterms:W3CDTF">2025-10-29T09:58:05Z</dcterms:modified>
  <dc:title>标准名称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2052-12.9.0.23240</vt:lpwstr>
  </property>
  <property fmtid="{D5CDD505-2E9C-101B-9397-08002B2CF9AE}" pid="3" name="ICV">
    <vt:lpwstr>6692F61D67FBB456AD740169D653AD58_43</vt:lpwstr>
  </property>
  <property fmtid="{D5CDD505-2E9C-101B-9397-08002B2CF9AE}" pid="4" name="KSOTemplateDocerSaveRecord">
    <vt:lpwstr>eyJoZGlkIjoiZWNlMDAzNWQyNzVkOThhY2NhZTA1Zjc3OGQ5NmI0YzUiLCJ1c2VySWQiOiIxMjQxODY1MjcxIn0=</vt:lpwstr>
  </property>
</Properties>
</file>