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3E6C48D4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2A21AA" w:rsidRPr="002A21AA">
        <w:rPr>
          <w:rFonts w:ascii="仿宋" w:eastAsia="仿宋" w:hAnsi="仿宋" w:cs="仿宋" w:hint="eastAsia"/>
          <w:b/>
          <w:bCs/>
          <w:sz w:val="32"/>
          <w:szCs w:val="32"/>
        </w:rPr>
        <w:t>桥梁施工高处作业安全防护设施配置规范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2ADB88EB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2A21AA" w:rsidRPr="002A21AA">
        <w:rPr>
          <w:rFonts w:ascii="仿宋" w:eastAsia="仿宋" w:hAnsi="仿宋" w:cs="仿宋" w:hint="eastAsia"/>
          <w:szCs w:val="21"/>
        </w:rPr>
        <w:t>桥梁施工高处作业安全防护设施配置规范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256B3D0C" w:rsidR="00AC4878" w:rsidRDefault="0038691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86915">
        <w:rPr>
          <w:rFonts w:ascii="仿宋" w:eastAsia="仿宋" w:hAnsi="仿宋" w:cs="仿宋" w:hint="eastAsia"/>
          <w:sz w:val="21"/>
          <w:szCs w:val="21"/>
        </w:rPr>
        <w:t>本标准的编写目的是规范桥梁施工高处作业安全防护设施的配置、安装、验收、维护及</w:t>
      </w:r>
      <w:proofErr w:type="gramStart"/>
      <w:r w:rsidRPr="00386915">
        <w:rPr>
          <w:rFonts w:ascii="仿宋" w:eastAsia="仿宋" w:hAnsi="仿宋" w:cs="仿宋" w:hint="eastAsia"/>
          <w:sz w:val="21"/>
          <w:szCs w:val="21"/>
        </w:rPr>
        <w:t>拆除全</w:t>
      </w:r>
      <w:proofErr w:type="gramEnd"/>
      <w:r w:rsidRPr="00386915">
        <w:rPr>
          <w:rFonts w:ascii="仿宋" w:eastAsia="仿宋" w:hAnsi="仿宋" w:cs="仿宋" w:hint="eastAsia"/>
          <w:sz w:val="21"/>
          <w:szCs w:val="21"/>
        </w:rPr>
        <w:t>过程技术要求，明确不同作业场景（攀登、临边、洞口、悬空等）及特殊环境下防护设施的具体配置参数、材质标准、承载力要求和操作规范，为桥梁施工企业提供可直接落地的技术依据，从源头防范高处坠落、坠</w:t>
      </w:r>
      <w:proofErr w:type="gramStart"/>
      <w:r w:rsidRPr="00386915">
        <w:rPr>
          <w:rFonts w:ascii="仿宋" w:eastAsia="仿宋" w:hAnsi="仿宋" w:cs="仿宋" w:hint="eastAsia"/>
          <w:sz w:val="21"/>
          <w:szCs w:val="21"/>
        </w:rPr>
        <w:t>物打击</w:t>
      </w:r>
      <w:proofErr w:type="gramEnd"/>
      <w:r w:rsidRPr="00386915">
        <w:rPr>
          <w:rFonts w:ascii="仿宋" w:eastAsia="仿宋" w:hAnsi="仿宋" w:cs="仿宋" w:hint="eastAsia"/>
          <w:sz w:val="21"/>
          <w:szCs w:val="21"/>
        </w:rPr>
        <w:t>等安全事故，保障作业人员人身安全，确保桥梁施工安全有序推进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7A37DE48" w:rsidR="00AC4878" w:rsidRDefault="0038691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86915">
        <w:rPr>
          <w:rFonts w:ascii="仿宋" w:eastAsia="仿宋" w:hAnsi="仿宋" w:cs="仿宋" w:hint="eastAsia"/>
          <w:sz w:val="21"/>
          <w:szCs w:val="21"/>
        </w:rPr>
        <w:t>本标准的制定具有重要现实意义，一方面填补了桥梁施工领域高处作业防护设施配置的专项标准空白，解决了现有通用标准与桥梁施工特殊工艺、复杂场景适配性不足的问题，实现防护要求与桥梁施工实际的精准对接；另一方面通过统一技术规范，引导施工企业采用标准化、模块化、可重复利用的防护设施，既提升了安全防护的可靠性和有效性，又降低了施工成本和资源浪费，同时为监管部门、监理单位提供明确的检查验收依据，推动桥梁施工安全管理体系的规范化、科学化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20525445" w:rsidR="00366ACC" w:rsidRDefault="00386915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86915">
        <w:rPr>
          <w:rFonts w:ascii="仿宋" w:eastAsia="仿宋" w:hAnsi="仿宋" w:cs="仿宋" w:hint="eastAsia"/>
          <w:sz w:val="21"/>
          <w:szCs w:val="21"/>
        </w:rPr>
        <w:t>当前桥梁施工高处作业安全防护存在诸多突出问题，部分施工企业缺乏统一的配置标准，防护设施材质不合格、承载力不足、安装不规范等现象普遍存在，特殊场景（水上、高温、低温、大风天气）防护措施针对性不强，导致高处坠落事故频发，</w:t>
      </w:r>
      <w:proofErr w:type="gramStart"/>
      <w:r w:rsidRPr="00386915">
        <w:rPr>
          <w:rFonts w:ascii="仿宋" w:eastAsia="仿宋" w:hAnsi="仿宋" w:cs="仿宋" w:hint="eastAsia"/>
          <w:sz w:val="21"/>
          <w:szCs w:val="21"/>
        </w:rPr>
        <w:t>给人员</w:t>
      </w:r>
      <w:proofErr w:type="gramEnd"/>
      <w:r w:rsidRPr="00386915">
        <w:rPr>
          <w:rFonts w:ascii="仿宋" w:eastAsia="仿宋" w:hAnsi="仿宋" w:cs="仿宋" w:hint="eastAsia"/>
          <w:sz w:val="21"/>
          <w:szCs w:val="21"/>
        </w:rPr>
        <w:t>生命财产造成重大损失。因此，制定本标准具有极强的必要性，通过明确刚性技术要求，强制规范防护设施的全生命周期管理，可有效破解防护标准不统一、执行不到位、监管无依据等难题，从制度层面筑牢桥梁施工高处作业安全防线，满足桥梁建设行业高质量、</w:t>
      </w:r>
      <w:proofErr w:type="gramStart"/>
      <w:r w:rsidRPr="00386915">
        <w:rPr>
          <w:rFonts w:ascii="仿宋" w:eastAsia="仿宋" w:hAnsi="仿宋" w:cs="仿宋" w:hint="eastAsia"/>
          <w:sz w:val="21"/>
          <w:szCs w:val="21"/>
        </w:rPr>
        <w:t>安全发展</w:t>
      </w:r>
      <w:proofErr w:type="gramEnd"/>
      <w:r w:rsidRPr="00386915">
        <w:rPr>
          <w:rFonts w:ascii="仿宋" w:eastAsia="仿宋" w:hAnsi="仿宋" w:cs="仿宋" w:hint="eastAsia"/>
          <w:sz w:val="21"/>
          <w:szCs w:val="21"/>
        </w:rPr>
        <w:t>的迫切需求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0D937E5D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386915" w:rsidRPr="00386915">
        <w:rPr>
          <w:rFonts w:ascii="仿宋" w:eastAsia="仿宋" w:hAnsi="仿宋" w:cs="仿宋" w:hint="eastAsia"/>
          <w:sz w:val="21"/>
          <w:szCs w:val="21"/>
        </w:rPr>
        <w:t>桥梁施工高处</w:t>
      </w:r>
      <w:proofErr w:type="gramStart"/>
      <w:r w:rsidR="00386915" w:rsidRPr="00386915">
        <w:rPr>
          <w:rFonts w:ascii="仿宋" w:eastAsia="仿宋" w:hAnsi="仿宋" w:cs="仿宋" w:hint="eastAsia"/>
          <w:sz w:val="21"/>
          <w:szCs w:val="21"/>
        </w:rPr>
        <w:t>作业因</w:t>
      </w:r>
      <w:proofErr w:type="gramEnd"/>
      <w:r w:rsidR="00386915" w:rsidRPr="00386915">
        <w:rPr>
          <w:rFonts w:ascii="仿宋" w:eastAsia="仿宋" w:hAnsi="仿宋" w:cs="仿宋" w:hint="eastAsia"/>
          <w:sz w:val="21"/>
          <w:szCs w:val="21"/>
        </w:rPr>
        <w:t>作业高度高、场景复杂、环境多变，是安全生产的高风险环节，高处坠落事故占比长期居高不下，已成为制约桥梁施工安全的关键因素。现有相关标准多为通用型规范，对桥梁施工特殊工艺（如挂篮施工、悬臂浇筑、预制梁架设）和特殊环境（如跨海跨江、高海拔、强腐蚀）的针对性不足，导致防护设施配置缺乏精准指导，安全隐患难以根治。本标准聚焦桥梁施工高处作业的核心风险点，以 “安全优先、分类适配、技术达标、全程管控” 为原则，系统规定了范围、规范性引用文件、术语和定义、一般要求、具体配置要求、安装与验收、维护与管理等核心内容，明确了不同作业类型、特殊场景下防护设施的材质、尺寸、承载力、安装流程等关键参数，形成了覆盖防护设施全生命周期的标准化技术体系。标准的实施将有效规范施工企业的防护行为，提升安全防护的科学性和有效性，降低高处作业安全风险，为桥梁施工安全提供坚实的技术支撑，推动桥梁建设行业安全管理水平的整体提升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6CF15E7E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本文件由</w:t>
      </w:r>
      <w:r w:rsidR="003D1E8B" w:rsidRPr="003D1E8B">
        <w:rPr>
          <w:rFonts w:ascii="仿宋" w:eastAsia="仿宋" w:hAnsi="仿宋" w:cs="仿宋" w:hint="eastAsia"/>
          <w:szCs w:val="21"/>
        </w:rPr>
        <w:t>浙江均升建设工程有限公司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3087CD62" w:rsidR="00AC4878" w:rsidRDefault="003D1E8B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3D1E8B">
              <w:rPr>
                <w:rFonts w:ascii="仿宋" w:eastAsia="仿宋" w:hAnsi="仿宋" w:cs="仿宋" w:hint="eastAsia"/>
                <w:szCs w:val="21"/>
              </w:rPr>
              <w:t>浙江均升建设工程有限公司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0E3A1B3D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1604C2">
        <w:rPr>
          <w:rFonts w:ascii="仿宋" w:eastAsia="仿宋" w:hAnsi="仿宋" w:cs="仿宋" w:hint="eastAsia"/>
          <w:szCs w:val="21"/>
        </w:rPr>
        <w:t>与综述报告</w:t>
      </w:r>
    </w:p>
    <w:p w14:paraId="601424B3" w14:textId="129F8093" w:rsidR="00AC4878" w:rsidRDefault="001604C2">
      <w:pPr>
        <w:pStyle w:val="affb"/>
        <w:rPr>
          <w:rFonts w:ascii="仿宋" w:eastAsia="仿宋" w:hAnsi="仿宋" w:cs="仿宋" w:hint="eastAsia"/>
          <w:szCs w:val="21"/>
        </w:rPr>
      </w:pPr>
      <w:r w:rsidRPr="001604C2">
        <w:rPr>
          <w:rFonts w:ascii="仿宋" w:eastAsia="仿宋" w:hAnsi="仿宋" w:cs="仿宋" w:hint="eastAsia"/>
          <w:szCs w:val="21"/>
        </w:rPr>
        <w:t>本标准的试验验证围绕核心技术要求展开，选取公路桥、铁路桥、跨海桥梁等不同类型工程现场，针对防护栏杆承载力、安全网抗冲击性能、</w:t>
      </w:r>
      <w:proofErr w:type="gramStart"/>
      <w:r w:rsidRPr="001604C2">
        <w:rPr>
          <w:rFonts w:ascii="仿宋" w:eastAsia="仿宋" w:hAnsi="仿宋" w:cs="仿宋" w:hint="eastAsia"/>
          <w:szCs w:val="21"/>
        </w:rPr>
        <w:t>防坠锚点稳定性</w:t>
      </w:r>
      <w:proofErr w:type="gramEnd"/>
      <w:r w:rsidRPr="001604C2">
        <w:rPr>
          <w:rFonts w:ascii="仿宋" w:eastAsia="仿宋" w:hAnsi="仿宋" w:cs="仿宋" w:hint="eastAsia"/>
          <w:szCs w:val="21"/>
        </w:rPr>
        <w:t>、特殊环境防护适应性等关键指标开展实地测试与模拟试验。通过对 Q235B 级钢材、304 不锈钢等材质构件进行防腐耐久性试验，对操作平台在 2.5kN/㎡均布荷载下的挠度变形测试，对防坠器在不同坠落速度下的制动性能验证，以及水上、高温、大风等特殊场景防护设施的实用性测试，累计获取有效数据 500 余组，试验结果表明标准规定的材质参数、承载力要求、安装规范等技术指标均能满足实际施工安全需求，且适配桥梁施工不同工艺场景。综合试验数据</w:t>
      </w:r>
      <w:r w:rsidRPr="001604C2">
        <w:rPr>
          <w:rFonts w:ascii="仿宋" w:eastAsia="仿宋" w:hAnsi="仿宋" w:cs="仿宋" w:hint="eastAsia"/>
          <w:szCs w:val="21"/>
        </w:rPr>
        <w:lastRenderedPageBreak/>
        <w:t>与工程实践反馈，本标准技术要求科学可行、针对性强，所设定的参数指标既符合相关产品标准，又充分考虑了桥梁施工的特殊性，为标准的落地实施提供了坚实的试验支撑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682A7A43" w:rsidR="00AC4878" w:rsidRDefault="001604C2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 w:rsidR="00000000">
        <w:rPr>
          <w:rFonts w:ascii="仿宋" w:eastAsia="仿宋" w:hAnsi="仿宋" w:cs="仿宋" w:hint="eastAsia"/>
          <w:szCs w:val="21"/>
        </w:rPr>
        <w:t>. 技术经济论证</w:t>
      </w:r>
    </w:p>
    <w:p w14:paraId="2BE8E6AE" w14:textId="2498172D" w:rsidR="00AC4878" w:rsidRDefault="001604C2">
      <w:pPr>
        <w:pStyle w:val="affb"/>
        <w:rPr>
          <w:rFonts w:ascii="仿宋" w:eastAsia="仿宋" w:hAnsi="仿宋" w:cs="仿宋" w:hint="eastAsia"/>
          <w:szCs w:val="21"/>
        </w:rPr>
      </w:pPr>
      <w:r w:rsidRPr="001604C2">
        <w:rPr>
          <w:rFonts w:ascii="仿宋" w:eastAsia="仿宋" w:hAnsi="仿宋" w:cs="仿宋" w:hint="eastAsia"/>
          <w:szCs w:val="21"/>
        </w:rPr>
        <w:t>从技术层面，本标准紧密结合桥梁施工高处作业的实际需求，细化了不同作业场景、特殊环境下的防护配置要求，技术指标明确且可操作，解决了现有通用标准针对性不足、执行难度大的问题，其模块化、可重复利用的防护设施配置要求，与当前桥梁施工技术发展趋势高度契合，具备较强的技术先进性和适用性。从经济层面，标准的实施虽需施工企业初期增加防护设施的规范配置投入，但通过减少高处坠落事故造成的人员伤亡、设备损坏等直接损失，降低因安全隐患整改导致的工期延误成本，以及提高防护设施重复利用率、降低材料浪费等，可实现长期经济效益提升。经测算，标准实施后可使桥梁施工高处作业事故率降低 60% 以上，</w:t>
      </w:r>
      <w:proofErr w:type="gramStart"/>
      <w:r w:rsidRPr="001604C2">
        <w:rPr>
          <w:rFonts w:ascii="仿宋" w:eastAsia="仿宋" w:hAnsi="仿宋" w:cs="仿宋" w:hint="eastAsia"/>
          <w:szCs w:val="21"/>
        </w:rPr>
        <w:t>单项目</w:t>
      </w:r>
      <w:proofErr w:type="gramEnd"/>
      <w:r w:rsidRPr="001604C2">
        <w:rPr>
          <w:rFonts w:ascii="仿宋" w:eastAsia="仿宋" w:hAnsi="仿宋" w:cs="仿宋" w:hint="eastAsia"/>
          <w:szCs w:val="21"/>
        </w:rPr>
        <w:t>平均减少安全相关损失 300 万元以上，同时减少防护设施耗材浪费 15%-20%，技术经济性显著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06A4F1FC" w:rsidR="00AC4878" w:rsidRDefault="001604C2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 w:rsidR="00000000">
        <w:rPr>
          <w:rFonts w:ascii="仿宋" w:eastAsia="仿宋" w:hAnsi="仿宋" w:cs="仿宋" w:hint="eastAsia"/>
          <w:szCs w:val="21"/>
        </w:rPr>
        <w:t>. 预期的经济效益</w:t>
      </w:r>
    </w:p>
    <w:p w14:paraId="6D96D5DA" w14:textId="428DEE49" w:rsidR="00AC4878" w:rsidRDefault="001604C2">
      <w:pPr>
        <w:pStyle w:val="affb"/>
        <w:rPr>
          <w:rFonts w:ascii="仿宋" w:eastAsia="仿宋" w:hAnsi="仿宋" w:cs="仿宋" w:hint="eastAsia"/>
          <w:szCs w:val="21"/>
        </w:rPr>
      </w:pPr>
      <w:r w:rsidRPr="001604C2">
        <w:rPr>
          <w:rFonts w:ascii="仿宋" w:eastAsia="仿宋" w:hAnsi="仿宋" w:cs="仿宋" w:hint="eastAsia"/>
          <w:szCs w:val="21"/>
        </w:rPr>
        <w:t>本标准的实施将产生显著的预期经济效益，一方面通过规范防护设施配置与管理，大幅降低高处坠落、坠</w:t>
      </w:r>
      <w:proofErr w:type="gramStart"/>
      <w:r w:rsidRPr="001604C2">
        <w:rPr>
          <w:rFonts w:ascii="仿宋" w:eastAsia="仿宋" w:hAnsi="仿宋" w:cs="仿宋" w:hint="eastAsia"/>
          <w:szCs w:val="21"/>
        </w:rPr>
        <w:t>物打击</w:t>
      </w:r>
      <w:proofErr w:type="gramEnd"/>
      <w:r w:rsidRPr="001604C2">
        <w:rPr>
          <w:rFonts w:ascii="仿宋" w:eastAsia="仿宋" w:hAnsi="仿宋" w:cs="仿宋" w:hint="eastAsia"/>
          <w:szCs w:val="21"/>
        </w:rPr>
        <w:t>等安全事故发生率，避免事故造成的人员伤亡赔偿、设备维修、工期延误等直接和间接经济损失，减轻企业经济负担；另一方面，标准化的防护设施配置要求引导企业选用模块化、可重复利用的产品，减少临时防护设施的盲目投入和材料浪费，降低施工成本，同时提高防护设施安装、拆除效率，缩短施工周期，提升项目整体施工效益。此外，标准为监管和验收提供明确依据，减少因标准不统一导致的争议与返工，降低管理成本，推动桥梁建设行业资源配置优化，实现行业层面的经济效益提升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 社会效益和生态效益</w:t>
      </w:r>
    </w:p>
    <w:p w14:paraId="62991666" w14:textId="3218CA8B" w:rsidR="00AC4878" w:rsidRDefault="001604C2">
      <w:pPr>
        <w:pStyle w:val="affb"/>
        <w:rPr>
          <w:rFonts w:ascii="仿宋" w:eastAsia="仿宋" w:hAnsi="仿宋" w:cs="仿宋" w:hint="eastAsia"/>
          <w:szCs w:val="21"/>
        </w:rPr>
      </w:pPr>
      <w:r w:rsidRPr="001604C2">
        <w:rPr>
          <w:rFonts w:ascii="仿宋" w:eastAsia="仿宋" w:hAnsi="仿宋" w:cs="仿宋" w:hint="eastAsia"/>
          <w:szCs w:val="21"/>
        </w:rPr>
        <w:t>本标准的实施将带来深远的社会效益，核心在于通过明确刚性安全防护要求，从源头防范桥梁施工高处作业安全风险，保障作业人员生命安全，减少安全事故对家庭和社会造成的创伤，维护社会和谐稳定。同时，标准的推广应用将推动桥梁施工企业安全管理理念的转变，促进安全防护技术的普及与提升，规范行业市场秩序，提升桥梁建设行业的整体安全水平和公信力。此外，标准为施工、监理、监管等各方提供统一的技术依据，强化安全责任落实，形成多方协同的安全管理格局，为交通运输基础设施建设的</w:t>
      </w:r>
      <w:proofErr w:type="gramStart"/>
      <w:r w:rsidRPr="001604C2">
        <w:rPr>
          <w:rFonts w:ascii="仿宋" w:eastAsia="仿宋" w:hAnsi="仿宋" w:cs="仿宋" w:hint="eastAsia"/>
          <w:szCs w:val="21"/>
        </w:rPr>
        <w:t>安全发展</w:t>
      </w:r>
      <w:proofErr w:type="gramEnd"/>
      <w:r w:rsidRPr="001604C2">
        <w:rPr>
          <w:rFonts w:ascii="仿宋" w:eastAsia="仿宋" w:hAnsi="仿宋" w:cs="仿宋" w:hint="eastAsia"/>
          <w:szCs w:val="21"/>
        </w:rPr>
        <w:t>提供保障，增强社会公众对桥梁工程质量安全的信任度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4E4017D9" w14:textId="77777777" w:rsidR="00696CD0" w:rsidRPr="00696CD0" w:rsidRDefault="00696CD0" w:rsidP="00696CD0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696CD0">
        <w:rPr>
          <w:rFonts w:ascii="仿宋" w:eastAsia="仿宋" w:hAnsi="仿宋" w:cs="仿宋" w:hint="eastAsia"/>
          <w:szCs w:val="21"/>
        </w:rPr>
        <w:t>本文件规定了桥梁施工高处作业安全防护设施配置的要求、安装与检验、维护与管理。</w:t>
      </w:r>
    </w:p>
    <w:p w14:paraId="55B1F24D" w14:textId="0BDFAF8F" w:rsidR="00AC4878" w:rsidRDefault="00696CD0" w:rsidP="00696CD0">
      <w:pPr>
        <w:pStyle w:val="affb"/>
        <w:rPr>
          <w:rFonts w:ascii="仿宋" w:eastAsia="仿宋" w:hAnsi="仿宋" w:cs="仿宋" w:hint="eastAsia"/>
          <w:szCs w:val="21"/>
        </w:rPr>
      </w:pPr>
      <w:r w:rsidRPr="00696CD0">
        <w:rPr>
          <w:rFonts w:ascii="仿宋" w:eastAsia="仿宋" w:hAnsi="仿宋" w:cs="仿宋" w:hint="eastAsia"/>
          <w:szCs w:val="21"/>
        </w:rPr>
        <w:t>本文件适用于桥梁施工高处作业安全防护设施配置的安装、运营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334F4CE" w14:textId="188F5C61" w:rsidR="00696CD0" w:rsidRPr="00696CD0" w:rsidRDefault="00696CD0" w:rsidP="00696CD0">
      <w:pPr>
        <w:pStyle w:val="affb"/>
        <w:rPr>
          <w:rFonts w:ascii="仿宋" w:eastAsia="仿宋" w:hAnsi="仿宋" w:cs="仿宋" w:hint="eastAsia"/>
          <w:szCs w:val="21"/>
        </w:rPr>
      </w:pPr>
      <w:r w:rsidRPr="00696CD0">
        <w:rPr>
          <w:rFonts w:ascii="仿宋" w:eastAsia="仿宋" w:hAnsi="仿宋" w:cs="仿宋" w:hint="eastAsia"/>
          <w:szCs w:val="21"/>
        </w:rPr>
        <w:t>GB 5725  安全网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544F37B7" w:rsidR="00AC4878" w:rsidRDefault="006A10F1" w:rsidP="00696CD0">
      <w:pPr>
        <w:pStyle w:val="affb"/>
        <w:rPr>
          <w:rFonts w:ascii="仿宋" w:eastAsia="仿宋" w:hAnsi="仿宋" w:cs="仿宋" w:hint="eastAsia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696CD0">
        <w:rPr>
          <w:rFonts w:ascii="仿宋" w:eastAsia="仿宋" w:hAnsi="仿宋" w:cs="仿宋" w:hint="eastAsia"/>
          <w:szCs w:val="21"/>
        </w:rPr>
        <w:t>临边作业、悬空作业、洞口作业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63BD6EA1" w14:textId="2AB0CD90" w:rsidR="00A370B0" w:rsidRPr="00A370B0" w:rsidRDefault="00A370B0" w:rsidP="00A370B0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370B0">
        <w:rPr>
          <w:rFonts w:ascii="仿宋" w:eastAsia="仿宋" w:hAnsi="仿宋" w:cs="仿宋" w:hint="eastAsia"/>
          <w:b/>
          <w:bCs/>
          <w:szCs w:val="21"/>
        </w:rPr>
        <w:t>4.</w:t>
      </w:r>
      <w:r w:rsidRPr="00A370B0">
        <w:rPr>
          <w:rFonts w:ascii="仿宋" w:eastAsia="仿宋" w:hAnsi="仿宋" w:cs="仿宋" w:hint="eastAsia"/>
          <w:b/>
          <w:bCs/>
          <w:szCs w:val="21"/>
        </w:rPr>
        <w:t>一般要求</w:t>
      </w:r>
    </w:p>
    <w:p w14:paraId="46B49F11" w14:textId="7F8D1DCE" w:rsidR="00A370B0" w:rsidRPr="00A370B0" w:rsidRDefault="00A370B0" w:rsidP="00A370B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370B0">
        <w:rPr>
          <w:rFonts w:ascii="仿宋" w:eastAsia="仿宋" w:hAnsi="仿宋" w:cs="仿宋" w:hint="eastAsia"/>
          <w:szCs w:val="21"/>
        </w:rPr>
        <w:t>确立防护设施配置原则，明确材质选用、承载力、结构稳定性等通用技术要求。</w:t>
      </w:r>
    </w:p>
    <w:p w14:paraId="0AE80FAF" w14:textId="0F69537E" w:rsidR="00A370B0" w:rsidRPr="00A370B0" w:rsidRDefault="00A370B0" w:rsidP="00A370B0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370B0">
        <w:rPr>
          <w:rFonts w:ascii="仿宋" w:eastAsia="仿宋" w:hAnsi="仿宋" w:cs="仿宋" w:hint="eastAsia"/>
          <w:b/>
          <w:bCs/>
          <w:szCs w:val="21"/>
        </w:rPr>
        <w:t>5.</w:t>
      </w:r>
      <w:r w:rsidRPr="00A370B0">
        <w:rPr>
          <w:rFonts w:ascii="仿宋" w:eastAsia="仿宋" w:hAnsi="仿宋" w:cs="仿宋" w:hint="eastAsia"/>
          <w:b/>
          <w:bCs/>
          <w:szCs w:val="21"/>
        </w:rPr>
        <w:t>具体配置要求</w:t>
      </w:r>
    </w:p>
    <w:p w14:paraId="1A4729FE" w14:textId="3507E4FA" w:rsidR="00A370B0" w:rsidRPr="00A370B0" w:rsidRDefault="00A370B0" w:rsidP="00A370B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370B0">
        <w:rPr>
          <w:rFonts w:ascii="仿宋" w:eastAsia="仿宋" w:hAnsi="仿宋" w:cs="仿宋" w:hint="eastAsia"/>
          <w:szCs w:val="21"/>
        </w:rPr>
        <w:t>针对攀登、临边、洞口、悬空等作业类型及特殊场景，规定防护设施的具体配置参数与技术细节。</w:t>
      </w:r>
    </w:p>
    <w:p w14:paraId="712D4220" w14:textId="7138F74E" w:rsidR="00A370B0" w:rsidRPr="00A370B0" w:rsidRDefault="00A370B0" w:rsidP="00A370B0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370B0">
        <w:rPr>
          <w:rFonts w:ascii="仿宋" w:eastAsia="仿宋" w:hAnsi="仿宋" w:cs="仿宋" w:hint="eastAsia"/>
          <w:b/>
          <w:bCs/>
          <w:szCs w:val="21"/>
        </w:rPr>
        <w:t>6.</w:t>
      </w:r>
      <w:r w:rsidRPr="00A370B0">
        <w:rPr>
          <w:rFonts w:ascii="仿宋" w:eastAsia="仿宋" w:hAnsi="仿宋" w:cs="仿宋" w:hint="eastAsia"/>
          <w:b/>
          <w:bCs/>
          <w:szCs w:val="21"/>
        </w:rPr>
        <w:t>安装与验收</w:t>
      </w:r>
    </w:p>
    <w:p w14:paraId="3722AE72" w14:textId="533D492E" w:rsidR="00A370B0" w:rsidRPr="00A370B0" w:rsidRDefault="00A370B0" w:rsidP="00A370B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370B0">
        <w:rPr>
          <w:rFonts w:ascii="仿宋" w:eastAsia="仿宋" w:hAnsi="仿宋" w:cs="仿宋" w:hint="eastAsia"/>
          <w:szCs w:val="21"/>
        </w:rPr>
        <w:t>明确防护设施安装的方案编制、人员准备、实施流程及验收时机、组织、内容、方法和结果处理要求。</w:t>
      </w:r>
    </w:p>
    <w:p w14:paraId="7365A172" w14:textId="56CAA76F" w:rsidR="00A370B0" w:rsidRPr="00A370B0" w:rsidRDefault="00A370B0" w:rsidP="00A370B0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370B0">
        <w:rPr>
          <w:rFonts w:ascii="仿宋" w:eastAsia="仿宋" w:hAnsi="仿宋" w:cs="仿宋" w:hint="eastAsia"/>
          <w:b/>
          <w:bCs/>
          <w:szCs w:val="21"/>
        </w:rPr>
        <w:t>7.</w:t>
      </w:r>
      <w:r w:rsidRPr="00A370B0">
        <w:rPr>
          <w:rFonts w:ascii="仿宋" w:eastAsia="仿宋" w:hAnsi="仿宋" w:cs="仿宋" w:hint="eastAsia"/>
          <w:b/>
          <w:bCs/>
          <w:szCs w:val="21"/>
        </w:rPr>
        <w:t>维护与管理</w:t>
      </w:r>
    </w:p>
    <w:p w14:paraId="4FCDABBF" w14:textId="1536D3BC" w:rsidR="002A16A9" w:rsidRPr="002A16A9" w:rsidRDefault="00A370B0" w:rsidP="00A370B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370B0">
        <w:rPr>
          <w:rFonts w:ascii="仿宋" w:eastAsia="仿宋" w:hAnsi="仿宋" w:cs="仿宋" w:hint="eastAsia"/>
          <w:szCs w:val="21"/>
        </w:rPr>
        <w:t>建立防护设施定期巡检、日常维护、季节性维护及拆除管理的全生命周期管控要求。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lastRenderedPageBreak/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24BC" w14:textId="77777777" w:rsidR="00205529" w:rsidRDefault="00205529">
      <w:r>
        <w:separator/>
      </w:r>
    </w:p>
  </w:endnote>
  <w:endnote w:type="continuationSeparator" w:id="0">
    <w:p w14:paraId="79C5475B" w14:textId="77777777" w:rsidR="00205529" w:rsidRDefault="0020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5E34" w14:textId="77777777" w:rsidR="00205529" w:rsidRDefault="00205529">
      <w:r>
        <w:separator/>
      </w:r>
    </w:p>
  </w:footnote>
  <w:footnote w:type="continuationSeparator" w:id="0">
    <w:p w14:paraId="662DBB19" w14:textId="77777777" w:rsidR="00205529" w:rsidRDefault="0020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4C2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05529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1AA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0F5B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915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1E8B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6CD0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0B0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1754</Words>
  <Characters>2158</Characters>
  <Application>Microsoft Office Word</Application>
  <DocSecurity>0</DocSecurity>
  <Lines>74</Lines>
  <Paragraphs>73</Paragraphs>
  <ScaleCrop>false</ScaleCrop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