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9993180"/>
      <w:bookmarkStart w:id="1" w:name="_Toc310002637"/>
      <w:bookmarkStart w:id="2" w:name="_Toc309994551"/>
      <w:bookmarkStart w:id="3" w:name="_Toc304402664"/>
      <w:bookmarkStart w:id="4" w:name="_Toc309995390"/>
      <w:bookmarkStart w:id="5" w:name="_Toc298937609"/>
      <w:bookmarkStart w:id="6" w:name="_Toc298937188"/>
      <w:bookmarkStart w:id="7" w:name="_Toc298937276"/>
      <w:bookmarkStart w:id="8" w:name="_Toc298937152"/>
      <w:bookmarkStart w:id="9" w:name="_Toc304825081"/>
      <w:bookmarkStart w:id="10" w:name="_Toc37234703"/>
      <w:bookmarkStart w:id="11" w:name="_Toc298937100"/>
      <w:bookmarkStart w:id="12" w:name="_Toc298936924"/>
      <w:bookmarkStart w:id="13" w:name="_Toc304828066"/>
      <w:bookmarkStart w:id="14" w:name="_Toc298937419"/>
      <w:bookmarkStart w:id="15" w:name="_Toc298937462"/>
      <w:bookmarkStart w:id="16" w:name="_Toc309995999"/>
      <w:bookmarkStart w:id="17" w:name="_Toc309997040"/>
      <w:bookmarkStart w:id="18" w:name="_Toc298937322"/>
      <w:bookmarkStart w:id="19" w:name="_Toc309995472"/>
      <w:bookmarkStart w:id="20" w:name="_Toc298938783"/>
      <w:bookmarkStart w:id="21" w:name="_Toc499110426"/>
      <w:bookmarkStart w:id="22" w:name="_Toc304824969"/>
      <w:bookmarkStart w:id="23" w:name="_Toc298923383"/>
      <w:bookmarkStart w:id="24" w:name="_Toc298936801"/>
      <w:bookmarkStart w:id="25" w:name="_Toc309995578"/>
      <w:bookmarkStart w:id="26" w:name="_Toc298937167"/>
      <w:bookmarkStart w:id="27" w:name="_Toc298937201"/>
      <w:bookmarkStart w:id="28" w:name="_Toc298938635"/>
      <w:bookmarkStart w:id="29" w:name="_Toc6138"/>
      <w:bookmarkStart w:id="30" w:name="_Toc304825008"/>
      <w:bookmarkStart w:id="31" w:name="_Toc298937357"/>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《城镇供水管网漏损智能监测与控制技术规范》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w:t>
      </w:r>
      <w:r>
        <w:rPr>
          <w:rFonts w:hint="eastAsia" w:ascii="仿宋" w:hAnsi="仿宋" w:eastAsia="仿宋" w:cs="仿宋"/>
          <w:sz w:val="21"/>
          <w:szCs w:val="21"/>
          <w:highlight w:val="none"/>
          <w:lang w:val="en-US" w:eastAsia="zh-CN"/>
        </w:rPr>
        <w:t>10月20</w:t>
      </w:r>
      <w:r>
        <w:rPr>
          <w:rFonts w:hint="eastAsia" w:ascii="仿宋" w:hAnsi="仿宋" w:eastAsia="仿宋" w:cs="仿宋"/>
          <w:sz w:val="21"/>
          <w:szCs w:val="21"/>
          <w:lang w:val="en-US" w:eastAsia="zh-CN"/>
        </w:rPr>
        <w:t>日，中国西部开发促进会发布《城镇供水管网漏损智能监测与控制技术规范》团体标准立项通知,开展团体标准的编制工作。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_Toc298937549"/>
      <w:bookmarkEnd w:id="32"/>
      <w:bookmarkStart w:id="33" w:name="BT1"/>
      <w:bookmarkEnd w:id="33"/>
      <w:r>
        <w:rPr>
          <w:rFonts w:hint="eastAsia" w:ascii="仿宋" w:hAnsi="仿宋" w:eastAsia="仿宋" w:cs="仿宋"/>
          <w:b/>
          <w:bCs/>
          <w:color w:val="000000"/>
          <w:sz w:val="21"/>
          <w:szCs w:val="21"/>
          <w:lang w:val="en-US" w:eastAsia="zh-CN"/>
        </w:rPr>
        <w:t>1.目的</w:t>
      </w:r>
    </w:p>
    <w:p w14:paraId="20BC2FBD">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本团体标准编制的核心目的是建立城镇供水管网漏损智能监测与控制技术的统一规范体系，为行业发展提供明确的技术指引。当前我国供水管网智能监测技术快速发展，但市场上 DMA 分区计量系统、实时监测设备等产品种类繁杂，技术水平与质量参差不齐，导致系统兼容性差、数据标准不统一，严重阻碍技术规模化应用。</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标准旨在明确智能监测系统的架构设计、设备选型、安装调试、漏损分析、预警响应等关键环节的技术要求，界定数据采集、传输、分析的统一标准，规范从系统开发、生产到运维的全流程操作。同时，结合国家对管网漏损控制的政策要求，将先进技术经验转化为可落地的技术指标，解决当前技术应用中 “无标可依” 的问题，为水务企业提供科学、统一的实施框架，推动漏损监测从经验化向标准化转变。</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7D10E56F">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本标准的编制与实施具有显著的资源、产业与社会多重意义。在资源利用层面，我国水资源短缺问题突出，2023 年北方老旧城区管网漏损率仍达15%-20%，标准通过规范智能监测技术应用，可助力精准定位漏点、缩短抢修时间，大幅降低水资源浪费，为节水型社会建设提供技术支撑。</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产业发展层面，标准能统一行业技术门槛，引导企业聚焦核心技术创新，避免低水平重复建设，提升相关设备与系统的市场竞争力，推动水务行业向智能化、精细化方向转型。同时，标准可促进产业链上下游数据互通与设备兼容，打破 “信息孤岛”，提高产业协同效率。</w:t>
      </w:r>
    </w:p>
    <w:p w14:paraId="03303ACC">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在社会层面，标准通过强化漏损控制能力，可保障供水压力稳定与水质安全，减少因管道泄漏引发的路面塌陷等安全隐患，提升城市供水保障韧性，助力智慧城市与水生态文明建设。</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0A0A4C27">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当前行业发展现状凸显了标准编制的迫切必要性。政策层面，国家已出台多项文件推进管网漏损控制，但缺乏针对性的智能监测技术规范，导致政策落地缺乏具体技术支撑。技术层面，智能监测技术与传统管理模式融合不足，部分企业仍缺乏系统化的技术应用方案，且不同企业的监测数据难以互通，制约了行业整体技术水平提升。</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管理层面，长期存在的漏损评定指标不统一、运维流程不规范等问题，导致企业管理水平参差不齐，部分企业漏损控制投入产出比偏低。因此，亟需通过团体标准填补现有标准空白，快速响应市场对智能监测技术的规范化需求，为政策实施、技术推广、企业管理提供统一依据，这是破解当前管网漏损治理难题、推动行业高质量发展的必然要求。</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阳谷城乡供水有限公司有限公司等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 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阳谷城乡供水有限公司等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 1.1—2020《标准化工作导则 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 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标准起草组成立后，严格遵循标准化流程，通过实地调研、企业交流及行业数据采集，深度剖析国内主流产品的技术参数、生产工艺与应用场景，精准把握行业技术痛点。同时广泛搜集相关标准和国外技术资料，进行了大量的研究分析、资料查证工作，确定了标准的制定原则，结合现有城镇供水管网漏损智能监测与控制技术规范，为标准的起草奠定了基础。标准起草组进一步研究了城镇供水管网漏损智能监测与控制技术规范，明确了技术要求，为标准的具体起草指明方向。</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 标准立项</w:t>
      </w:r>
    </w:p>
    <w:p w14:paraId="535EB29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为响应新型城镇化建设与“双碳”战略对供水系统精细化管控的迫切需求，推动城镇供水管网从“被动处置”向“智能预警、高效控漏”的精细化运维模式升级，标准起草工作组正式提出《城镇供水管网漏损智能监测与控制技术规范》团体标准的立项申请。</w:t>
      </w:r>
    </w:p>
    <w:p w14:paraId="4CD7E4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城镇供水管网漏损智能监测与控制技术规范》是面向市政供水、区域加压调蓄、用户终端计量等关键环节，兼具技术指导与实操落地功能的核心技术标准体系。该规范针对供水管网运行全周期（监测、评估、控制、维护）的控漏增效需求，聚焦水量精准平衡（流量、压力、漏失量）、运行效能优化（能耗、设备效率）、智能监测技术应用（传感、传输、诊断）、数据驱动决策四大核心维度，采用标准化技术路径与可操作的工艺要求，系统化规范管网漏损智能监测与控制技术的应用。其技术内涵涵盖漏损监测系统建设技术参数、智能预警阈值设定规程、控漏策略制定与效果评估方法、老旧管网智能化改造实施路径等，是实现“监测精准、定位快速、控制有效”实施目标，满足供水行业对漏损控制技术规范化应用与系统效能提升需求的核心工具。在城镇供水系统向“信息化、智能化、低碳化”加速转型的背景下，科学完善的漏损智能监测与控制技术规范已成为提升管网运维效率、保障供水系统安全与经济运行的关键基础。</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鉴于现行国家标准与行业标准在城镇供水管网漏损智能监测的具体技术方法、设备性能参数、控制策略优化及系统集成等关键技术环节存在显著空白，未对多源监测数据融合诊断技术、压力精细化调控技术要求、基于人工智能的漏损预测与定位方法等关键维度形成统一规范，导致市场“伪智能控漏”产品混杂、技术应用效果参差不齐、供水企业与监管部门缺乏精准评估与监管依据。为系统解决上述行业痛点，标准起草工作组在充分调研我国城镇供水管网运维现状和智能控漏技术发展趋势的基础上，参考了头部供水企业、智能传感设备供应商、系统集成商及行业监管部门的实践经验与技术成果，提出本团体标准立项，旨在为行业提供统一、科学、可操作的漏损智能监测与控制技术规范与实施指引。</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 xml:space="preserve">5.3 </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在理论研究基础上，起草组在标准编制过程中充分借鉴已有的理论研究和实践成果，基于我国基本国情，经过数次修改，形成了《城镇供水管网漏损智能监测与控制技术规范》标准草案稿。</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 xml:space="preserve"> 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 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 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结合相关国家标准、行业标准及企业内部管控的项目进行要求规定和试验验证。国家标准提供基础框架与通用准则，行业标准细化特定领域技术指标与操作规范，企业内部管控文件则结合实际业务需求，明确人员职责、流程节点与质量控制点。同时，建立分级分类的试验验证体系，针对关键指标采用模拟工况测试、第三方机构检测等方法，运用统计学原理对数据进行分析评估，确保每个环节均满足多维度标准要求，最终形成从标准对标、规范制定到试验验证的完整闭环管理机制。</w:t>
      </w:r>
    </w:p>
    <w:p w14:paraId="0CCF6F6F">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061F2F9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编制响应《国家标准化发展纲要》及节水政策要求，针对城镇供水管网漏损隐蔽、传统监测低效等痛点，旨在规范智能技术应用，助力漏损率精准管控。标准由行业协会牵头，联合水务运营、科研及工程单位共同起草，确保兼具理论性与实操性。编制严格遵循 GB/T 1.1—2020 规则，衔接现行水法及行业标准。核心内容涵盖三方面：一是明确智能监测装备要求</w:t>
      </w:r>
      <w:r>
        <w:rPr>
          <w:rFonts w:hint="eastAsia" w:ascii="仿宋" w:hAnsi="仿宋" w:eastAsia="仿宋" w:cs="仿宋"/>
          <w:sz w:val="21"/>
          <w:szCs w:val="21"/>
          <w:lang w:eastAsia="zh-CN"/>
        </w:rPr>
        <w:t>，</w:t>
      </w:r>
      <w:r>
        <w:rPr>
          <w:rFonts w:hint="eastAsia" w:ascii="仿宋" w:hAnsi="仿宋" w:eastAsia="仿宋" w:cs="仿宋"/>
          <w:sz w:val="21"/>
          <w:szCs w:val="21"/>
        </w:rPr>
        <w:t>二是规范技术应用体系</w:t>
      </w:r>
      <w:r>
        <w:rPr>
          <w:rFonts w:hint="eastAsia" w:ascii="仿宋" w:hAnsi="仿宋" w:eastAsia="仿宋" w:cs="仿宋"/>
          <w:sz w:val="21"/>
          <w:szCs w:val="21"/>
          <w:lang w:eastAsia="zh-CN"/>
        </w:rPr>
        <w:t>，</w:t>
      </w:r>
      <w:r>
        <w:rPr>
          <w:rFonts w:hint="eastAsia" w:ascii="仿宋" w:hAnsi="仿宋" w:eastAsia="仿宋" w:cs="仿宋"/>
          <w:sz w:val="21"/>
          <w:szCs w:val="21"/>
        </w:rPr>
        <w:t>三是建立管控闭环，明确数据传输、漏损识别、预警处置的全流程要求。标准实施将推动漏损管理从被动抢修向主动预警转型，为智慧水务建设提供统一技术依据，兼具经济与社会效益。</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 技术经济论证</w:t>
      </w:r>
    </w:p>
    <w:p w14:paraId="285BF15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技术层面，本标准以“精准监测-智能控制-高效运维”为核心，技术路径科学且务实。规范有机融合了DMA分区计量、压力优化调控等成熟管理方法与人工智能预警、水力模型诊断等智能化技术，实施门槛低，兼容性强。核心的智能监测设备与软件系统投入，平均至单位管长成本不足管网资产原值的0.5%，确保了技术方案在各类供水企业中的广泛适用性与易推广性。</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经济层面，本标准实施短期投入可控，长期收益显著。通过系统化应用，全周期可实现漏损率降低5-10个百分点，泵站电耗下降8%-12%，预计每千公里管网年节约水量超千万吨，直接经济效益显著。典型区域案例测算显示，相关技术投入的投资回收期普遍在2-4年。</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 预期的经济效益</w:t>
      </w:r>
    </w:p>
    <w:p w14:paraId="35D83DC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城镇供水管网漏损智能监测与控制技术规范》团体标准的实施将为供水行业带来显著的预期经济效益。通过推广精准监测与智能控制技术，预计可系统性降低管网漏损率5-10个百分点。以年供水量5000万立方米城市为例，年节水量可达250万立方米以上，按制水成本计算，直接节水收益达数百万元。同时，压力优化调控技术可降低泵站电耗8%-12%，实现节能降耗。</w:t>
      </w:r>
    </w:p>
    <w:p w14:paraId="4D94EC0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标准实施还将优化运营维护，通过精准定位减少人工巡检成本15%-25%，并有效预防大型爆漏事故，避免高昂的应急抢修费用。此外，智能控漏能延长管网资产寿命，推迟大规模更新改造投资。</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综合来看，相关技术投入的投资回收期通常在2-4年，具有“短期投入可控、长期收益显著”的特点。除直接经济回报外，标准实施还有助于供水企业提升行业评级、争取政策支持、规避未来水资源税负风险，综合经济效益突出。</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 社会效益和生态效益</w:t>
      </w:r>
    </w:p>
    <w:p w14:paraId="649C93E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社会效益：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标准的制定与实施，将产生深远且积极的社会效益。首要的是保障城乡供水安全与稳定性。通过精准监测与快速控制漏损，能有效减少因管道爆裂引发的供水中断事故，确保居民、医院、学校等用户的用水连续性和稳定性，直接提升民生福祉与公共服务质量。其次，有助于维护社会公共安全。地下管网的持续泄漏会冲刷地基，引发道路塌陷等次生灾害，本标准通过提前预警和干预，能有效规避此类公共安全风险。此外，标准推广将推动行业技术进步与人才队伍建设。它为供水企业提供了统一、科学的技术指南，促使行业从依赖经验的粗放管理模式，向数据驱动的精细化运维模式转型，在此过程中将培育一批掌握智能监测与控制技术的专业人才。最后，标准的应用能提升水资源利用的公平性与企业形象。减少“看不见”的水资源浪费，体现了供水企业作为公用事业单位的社会责任与担当，增强公众的节水意识与对供水服务的满意度，为构建节水型社会奠定坚实基础。</w:t>
      </w:r>
    </w:p>
    <w:p w14:paraId="08CCCA2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生态效益：</w:t>
      </w:r>
    </w:p>
    <w:p w14:paraId="28DF1F7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的生态效益主要体现在对水资源与能源的节约，以及对环境的直接保护上，是践行“双碳”战略的具体举措。最直接的生态效益是宝贵水资源的节约。每一方被节约下来的水，都相当于减少了等量的取水行为，对于保护河流、湖泊等自然水体生态系统，维持地下水位平衡具有重要意义，直接助力于水环境保护与生态恢复。</w:t>
      </w:r>
    </w:p>
    <w:p w14:paraId="4055D37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其次，标准实施将带来显著的节能减碳效果。供水系统是能耗大户，降低漏损和优化压力意味着制水与输配水环节的电力消耗大幅降低。据估算，全行业应用后可实现泵站电耗下降8%-12%，这直接转化为大量的温室气体减排。同时，节水本身也节约了制水过程中的药剂消耗，减少了生产与运输这些化学品带来的碳排放与环境污染。</w:t>
      </w:r>
    </w:p>
    <w:p w14:paraId="689119CD">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最后，本标准通过控制漏损，从源头上减少了因抢修施工对城市土壤和植被的破坏，并降低了因管道破裂导致污水入侵或冲刷土壤的风险，整体上对维护城市生态环境健康具有积极意义。</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在制定过程中，充分借鉴了国际水协会（IWA）提出的水平衡与漏损管理先进理念，以及欧美国家在管网分区计量、压力优化控制和噪声监测等方面的成熟标准与实践，确保本标准技术路径与国际前沿接轨。同时，本标准紧密结合我国《城镇供水管网漏损控制及评定标准》（CJJ 92）等现行体系，聚焦于物联网、大数据和智能算法在漏损管控中的应用，对监测设备布设、数据分析方法、预警阈值设定及智能控制策略等关键环节作出了具体、细化的技术规定，有效填补了当前标准在漏损智能化、精细化、主动化控制方面的空白。</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7FE1C09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35" w:name="_Toc24884219"/>
      <w:bookmarkStart w:id="36" w:name="_Toc17233334"/>
      <w:bookmarkStart w:id="37" w:name="_Toc17233326"/>
      <w:bookmarkStart w:id="38" w:name="_Toc26648466"/>
      <w:bookmarkStart w:id="39" w:name="_Toc24884212"/>
      <w:r>
        <w:rPr>
          <w:rFonts w:hint="eastAsia" w:ascii="仿宋" w:hAnsi="仿宋" w:eastAsia="仿宋" w:cs="仿宋"/>
          <w:b/>
          <w:bCs/>
          <w:sz w:val="21"/>
          <w:szCs w:val="21"/>
          <w:lang w:val="en-US" w:eastAsia="zh-CN"/>
        </w:rPr>
        <w:t>1、范围</w:t>
      </w:r>
    </w:p>
    <w:p w14:paraId="0D057BA4">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本标准规定了城镇供水管网漏损智能监测与控制技术的系统架构、监测技术、数据管理、诊断预警、控制策略及系统平台的功能要求。</w:t>
      </w:r>
    </w:p>
    <w:p w14:paraId="5FE86ED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本标准适用于城镇公共供水管网系统中，基于智能传感、数据通信和自动控制技术进行的漏损监测与控制系统的规划设计、建设验收、运行维护与管理。</w:t>
      </w:r>
    </w:p>
    <w:p w14:paraId="357DBC1C">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本标准不适用于工业自备供水系统和农村分散式供水系统。</w:t>
      </w:r>
    </w:p>
    <w:p w14:paraId="6131FE2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2、规范性引用文件</w:t>
      </w:r>
    </w:p>
    <w:p w14:paraId="566C241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该章节列出了本文件所引用的标准文件。</w:t>
      </w:r>
    </w:p>
    <w:p w14:paraId="7DBD604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3、术语和定义</w:t>
      </w:r>
    </w:p>
    <w:p w14:paraId="6DA28AAE">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下列术语和定义适用于本文件。</w:t>
      </w:r>
    </w:p>
    <w:p w14:paraId="02F331FD">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4、总体要求</w:t>
      </w:r>
    </w:p>
    <w:p w14:paraId="288B260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本章节主要规定了系统建设应遵循的基本原则、体系架构以及数据精度、系统安全等通用要求。</w:t>
      </w:r>
    </w:p>
    <w:p w14:paraId="6C60E75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5、监测技术与布设</w:t>
      </w:r>
      <w:bookmarkStart w:id="40" w:name="_GoBack"/>
      <w:bookmarkEnd w:id="40"/>
    </w:p>
    <w:p w14:paraId="4CCE751A">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本章节主要规定了流量、压力、噪声等监测设备的选型、性能指标以及在管网中的优化布设原则与方法。</w:t>
      </w:r>
    </w:p>
    <w:p w14:paraId="25300034">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6、数据采集、传输与管理</w:t>
      </w:r>
    </w:p>
    <w:p w14:paraId="36085FC1">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本章节主要规定了监测数据的采集频率、传输协议、存储格式、质量控制和数据安全的管理要求。</w:t>
      </w:r>
    </w:p>
    <w:p w14:paraId="22AFEC04">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7、漏损诊断、预警与控制</w:t>
      </w:r>
    </w:p>
    <w:p w14:paraId="21573B9B">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本章节规定了基于数据分析的漏损识别算法、预警阈值设定、漏点定位方法及主动压力控制等响应策略。</w:t>
      </w:r>
    </w:p>
    <w:p w14:paraId="17E870D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8、系统平台功能要求</w:t>
      </w:r>
    </w:p>
    <w:p w14:paraId="76FE3296">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本章节主要规定了智能监测与控制平台应具备的数据可视化、报警管理、报表生成及决策支持等核心功能。</w:t>
      </w:r>
    </w:p>
    <w:p w14:paraId="2579CD17">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9、运行与维护</w:t>
      </w:r>
    </w:p>
    <w:p w14:paraId="5F3E62E7">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本章节规定了系统建成后的日常运行监控、定期维护保养及效能评估的周期与方法。</w:t>
      </w:r>
    </w:p>
    <w:bookmarkEnd w:id="35"/>
    <w:bookmarkEnd w:id="36"/>
    <w:bookmarkEnd w:id="37"/>
    <w:bookmarkEnd w:id="38"/>
    <w:bookmarkEnd w:id="39"/>
    <w:p w14:paraId="2545AB1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6F17EB"/>
    <w:rsid w:val="119500A0"/>
    <w:rsid w:val="11E37C04"/>
    <w:rsid w:val="11EF2883"/>
    <w:rsid w:val="12512550"/>
    <w:rsid w:val="125A6BF4"/>
    <w:rsid w:val="12C86253"/>
    <w:rsid w:val="12CF6372"/>
    <w:rsid w:val="13042DDB"/>
    <w:rsid w:val="139B5716"/>
    <w:rsid w:val="1436325E"/>
    <w:rsid w:val="148D41AD"/>
    <w:rsid w:val="14CF174C"/>
    <w:rsid w:val="153C0D7C"/>
    <w:rsid w:val="15483208"/>
    <w:rsid w:val="15505DDD"/>
    <w:rsid w:val="158D7AE3"/>
    <w:rsid w:val="159B1B8F"/>
    <w:rsid w:val="16F84A8E"/>
    <w:rsid w:val="173B6C95"/>
    <w:rsid w:val="178D48F7"/>
    <w:rsid w:val="196E7664"/>
    <w:rsid w:val="19D4303C"/>
    <w:rsid w:val="1A291572"/>
    <w:rsid w:val="1A6A4539"/>
    <w:rsid w:val="1B063DBD"/>
    <w:rsid w:val="1B740D26"/>
    <w:rsid w:val="1C994529"/>
    <w:rsid w:val="1CCA007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55D282B"/>
    <w:rsid w:val="256A59C8"/>
    <w:rsid w:val="267E4497"/>
    <w:rsid w:val="268E3C87"/>
    <w:rsid w:val="278A3680"/>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1496359"/>
    <w:rsid w:val="326655EE"/>
    <w:rsid w:val="327B69E7"/>
    <w:rsid w:val="33C34EFC"/>
    <w:rsid w:val="34366F6E"/>
    <w:rsid w:val="344F3C87"/>
    <w:rsid w:val="355552CD"/>
    <w:rsid w:val="35AB7232"/>
    <w:rsid w:val="35D61655"/>
    <w:rsid w:val="361A2073"/>
    <w:rsid w:val="362A1092"/>
    <w:rsid w:val="36461B5D"/>
    <w:rsid w:val="3690287C"/>
    <w:rsid w:val="36AD56C5"/>
    <w:rsid w:val="36DC5408"/>
    <w:rsid w:val="37905325"/>
    <w:rsid w:val="37BA0B09"/>
    <w:rsid w:val="386364AA"/>
    <w:rsid w:val="38641521"/>
    <w:rsid w:val="38822CFA"/>
    <w:rsid w:val="388554EB"/>
    <w:rsid w:val="38C83DE7"/>
    <w:rsid w:val="38FA68B7"/>
    <w:rsid w:val="3923202B"/>
    <w:rsid w:val="393B7239"/>
    <w:rsid w:val="39DA644F"/>
    <w:rsid w:val="3A744447"/>
    <w:rsid w:val="3AAF1923"/>
    <w:rsid w:val="3AC950C9"/>
    <w:rsid w:val="3B0C28D2"/>
    <w:rsid w:val="3B3011F7"/>
    <w:rsid w:val="3B3D6F2F"/>
    <w:rsid w:val="3B963D3A"/>
    <w:rsid w:val="3D3D3216"/>
    <w:rsid w:val="3D8739B6"/>
    <w:rsid w:val="3F0E0FB1"/>
    <w:rsid w:val="3F575F4A"/>
    <w:rsid w:val="3FFE79A1"/>
    <w:rsid w:val="40624A0E"/>
    <w:rsid w:val="40657ACF"/>
    <w:rsid w:val="41BF5866"/>
    <w:rsid w:val="41D4737F"/>
    <w:rsid w:val="41EE70DB"/>
    <w:rsid w:val="41F16D17"/>
    <w:rsid w:val="42397461"/>
    <w:rsid w:val="42943327"/>
    <w:rsid w:val="42E934F8"/>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603AEE"/>
    <w:rsid w:val="55FD7055"/>
    <w:rsid w:val="56014794"/>
    <w:rsid w:val="568B0C91"/>
    <w:rsid w:val="56C500AD"/>
    <w:rsid w:val="56DC7EC7"/>
    <w:rsid w:val="570975B4"/>
    <w:rsid w:val="576222A2"/>
    <w:rsid w:val="578F7888"/>
    <w:rsid w:val="57EE097D"/>
    <w:rsid w:val="583166A5"/>
    <w:rsid w:val="58B60ACC"/>
    <w:rsid w:val="58D05DE7"/>
    <w:rsid w:val="59080725"/>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8F156F"/>
    <w:rsid w:val="6298186E"/>
    <w:rsid w:val="62D559AF"/>
    <w:rsid w:val="63136946"/>
    <w:rsid w:val="634E0BFD"/>
    <w:rsid w:val="639C78BD"/>
    <w:rsid w:val="645D37AF"/>
    <w:rsid w:val="64BE00A4"/>
    <w:rsid w:val="64CE3BD1"/>
    <w:rsid w:val="65144950"/>
    <w:rsid w:val="65422D4F"/>
    <w:rsid w:val="65616E36"/>
    <w:rsid w:val="656C6332"/>
    <w:rsid w:val="65B86EE6"/>
    <w:rsid w:val="66C85109"/>
    <w:rsid w:val="66E11A66"/>
    <w:rsid w:val="67AE2497"/>
    <w:rsid w:val="67C41CBB"/>
    <w:rsid w:val="681A56C2"/>
    <w:rsid w:val="684318AA"/>
    <w:rsid w:val="6A516F28"/>
    <w:rsid w:val="6A802926"/>
    <w:rsid w:val="6A88563D"/>
    <w:rsid w:val="6AB9187F"/>
    <w:rsid w:val="6AC36259"/>
    <w:rsid w:val="6AF13796"/>
    <w:rsid w:val="6B965E5B"/>
    <w:rsid w:val="6C33740F"/>
    <w:rsid w:val="6C995064"/>
    <w:rsid w:val="6C9A5295"/>
    <w:rsid w:val="6CDE34BF"/>
    <w:rsid w:val="6D572222"/>
    <w:rsid w:val="6D6A6E60"/>
    <w:rsid w:val="6D8A711B"/>
    <w:rsid w:val="6EB54BA2"/>
    <w:rsid w:val="6EBB4295"/>
    <w:rsid w:val="6F7915DC"/>
    <w:rsid w:val="6FBE05E9"/>
    <w:rsid w:val="70112588"/>
    <w:rsid w:val="7045716D"/>
    <w:rsid w:val="704B617C"/>
    <w:rsid w:val="704C5591"/>
    <w:rsid w:val="70545BA6"/>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BC85A9D"/>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 w:type="paragraph" w:customStyle="1" w:styleId="192">
    <w:name w:val="表正文"/>
    <w:basedOn w:val="15"/>
    <w:autoRedefine/>
    <w:qFormat/>
    <w:uiPriority w:val="5"/>
    <w:pPr>
      <w:framePr w:hSpace="180" w:wrap="around" w:vAnchor="text" w:hAnchor="text" w:y="1"/>
      <w:suppressOverlap/>
      <w:spacing w:after="0"/>
    </w:pPr>
    <w:rPr>
      <w:rFonts w:ascii="仿宋" w:hAnsi="仿宋" w:eastAsia="仿宋" w:cs="宋体"/>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5</Pages>
  <Words>5297</Words>
  <Characters>5406</Characters>
  <Lines>17</Lines>
  <Paragraphs>4</Paragraphs>
  <TotalTime>0</TotalTime>
  <ScaleCrop>false</ScaleCrop>
  <LinksUpToDate>false</LinksUpToDate>
  <CharactersWithSpaces>5443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2025-10-30T08:13:53Z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CA63D4E9CAF04B35810FBA0026F626AF</vt:lpwstr>
  </property>
  <property fmtid="{D5CDD505-2E9C-101B-9397-08002B2CF9AE}" pid="4" name="KSOTemplateDocerSaveRecord">
    <vt:lpwstr>eyJoZGlkIjoiMjdlZDgyOTQyNjFjNTk3MWVlYTY0NzMzZGMxODZkODYiLCJ1c2VySWQiOiIxNTY4NTU3MDQ2In0=</vt:lpwstr>
  </property>
</Properties>
</file>