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5875421F"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4E1A19" w:rsidRPr="004E1A19">
        <w:rPr>
          <w:rFonts w:ascii="仿宋" w:eastAsia="仿宋" w:hAnsi="仿宋" w:cs="仿宋" w:hint="eastAsia"/>
          <w:b/>
          <w:bCs/>
          <w:sz w:val="32"/>
          <w:szCs w:val="32"/>
        </w:rPr>
        <w:t>印刷品环保油墨色彩匹配技术指南</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6CBB22E1"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4E1A19" w:rsidRPr="004E1A19">
        <w:rPr>
          <w:rFonts w:ascii="仿宋" w:eastAsia="仿宋" w:hAnsi="仿宋" w:cs="仿宋" w:hint="eastAsia"/>
          <w:szCs w:val="21"/>
        </w:rPr>
        <w:t>印刷品环保油墨色彩匹配技术指南</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5E03E837" w:rsidR="00AC4878" w:rsidRDefault="0062631E">
      <w:pPr>
        <w:pStyle w:val="affc"/>
        <w:widowControl/>
        <w:spacing w:beforeAutospacing="0" w:afterAutospacing="0"/>
        <w:ind w:firstLineChars="200" w:firstLine="420"/>
        <w:jc w:val="both"/>
        <w:rPr>
          <w:rFonts w:ascii="仿宋" w:eastAsia="仿宋" w:hAnsi="仿宋" w:cs="仿宋" w:hint="eastAsia"/>
          <w:sz w:val="21"/>
          <w:szCs w:val="21"/>
        </w:rPr>
      </w:pPr>
      <w:r w:rsidRPr="0062631E">
        <w:rPr>
          <w:rFonts w:ascii="仿宋" w:eastAsia="仿宋" w:hAnsi="仿宋" w:cs="仿宋" w:hint="eastAsia"/>
          <w:sz w:val="21"/>
          <w:szCs w:val="21"/>
        </w:rPr>
        <w:t>本标准编写旨在规范印刷品环保油墨色彩匹配的技术要求、试验方法、检验规则及应用流程，明确环保油墨有害物质限量、色彩参数偏差限值、不同印刷工艺的专项适配要求，统一色彩匹配的测试条件与判定标准，解决当前行业内环保油墨色彩一致性差、基材适配不合理、环保与色彩质量难以兼顾等问题，为印刷生产企业、色彩设计机构、质量检验单位提供可操作的技术依据，保障环保油墨印刷品的色彩稳定性与环保合</w:t>
      </w:r>
      <w:proofErr w:type="gramStart"/>
      <w:r w:rsidRPr="0062631E">
        <w:rPr>
          <w:rFonts w:ascii="仿宋" w:eastAsia="仿宋" w:hAnsi="仿宋" w:cs="仿宋" w:hint="eastAsia"/>
          <w:sz w:val="21"/>
          <w:szCs w:val="21"/>
        </w:rPr>
        <w:t>规</w:t>
      </w:r>
      <w:proofErr w:type="gramEnd"/>
      <w:r w:rsidRPr="0062631E">
        <w:rPr>
          <w:rFonts w:ascii="仿宋" w:eastAsia="仿宋" w:hAnsi="仿宋" w:cs="仿宋" w:hint="eastAsia"/>
          <w:sz w:val="21"/>
          <w:szCs w:val="21"/>
        </w:rPr>
        <w:t>性</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02382492" w:rsidR="00AC4878" w:rsidRDefault="0062631E">
      <w:pPr>
        <w:pStyle w:val="affc"/>
        <w:widowControl/>
        <w:spacing w:beforeAutospacing="0" w:afterAutospacing="0"/>
        <w:ind w:firstLineChars="200" w:firstLine="420"/>
        <w:jc w:val="both"/>
        <w:rPr>
          <w:rFonts w:ascii="仿宋" w:eastAsia="仿宋" w:hAnsi="仿宋" w:cs="仿宋" w:hint="eastAsia"/>
          <w:sz w:val="21"/>
          <w:szCs w:val="21"/>
        </w:rPr>
      </w:pPr>
      <w:r w:rsidRPr="0062631E">
        <w:rPr>
          <w:rFonts w:ascii="仿宋" w:eastAsia="仿宋" w:hAnsi="仿宋" w:cs="仿宋" w:hint="eastAsia"/>
          <w:sz w:val="21"/>
          <w:szCs w:val="21"/>
        </w:rPr>
        <w:t>本标准的制定与实施，有助于推动印刷行业绿色转型与高质量发展，通过统一环保油墨色彩匹配技术规范，降低因色彩不匹配导致的生产损耗与资源浪费，提升印刷品的市场竞争力；同时，明确环保油墨的有害物质限量与色彩质量双重要求，可引导油墨生产企业优化产品配方，促进低 VOCs、低重金属环保油墨的研发与应用，减少印刷过程中的环境污染，保障生产操作人员健康与消费者使用安全，推动行业形成 “环保优先、质量达标” 的良性发展格局</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38C0D80A" w14:textId="528463EF" w:rsidR="0037697E" w:rsidRDefault="0062631E" w:rsidP="00366ACC">
      <w:pPr>
        <w:pStyle w:val="affc"/>
        <w:widowControl/>
        <w:spacing w:beforeAutospacing="0" w:afterAutospacing="0"/>
        <w:ind w:firstLineChars="200" w:firstLine="420"/>
        <w:jc w:val="both"/>
        <w:rPr>
          <w:rFonts w:ascii="仿宋" w:eastAsia="仿宋" w:hAnsi="仿宋" w:cs="仿宋" w:hint="eastAsia"/>
          <w:sz w:val="21"/>
          <w:szCs w:val="21"/>
        </w:rPr>
      </w:pPr>
      <w:r w:rsidRPr="0062631E">
        <w:rPr>
          <w:rFonts w:ascii="仿宋" w:eastAsia="仿宋" w:hAnsi="仿宋" w:cs="仿宋" w:hint="eastAsia"/>
          <w:sz w:val="21"/>
          <w:szCs w:val="21"/>
        </w:rPr>
        <w:t>当前印刷行业面临环保政策趋严与市场对色彩质量要求提升的双重压力，现有标准多单独规范油墨环保指标或印刷品色彩检验，缺乏针对环保油墨色彩匹配的系统性技术指南，导致实际生产中存在色彩偏差大、批量一致性差、环保与色彩质量冲突等问题，影响产品合格率与行业整体效率。此外，不同企业采用的色彩匹配方法、测试条件各异，造成供应链对接困难、质量争议频发。因此，制定统一、具体、可操作的环保油墨色彩匹配技术标准，填补行业技术空白，解决实际生产痛点，已成为推动行业规范化、标准化发展的迫切需求</w:t>
      </w:r>
      <w:r w:rsidR="0037697E">
        <w:rPr>
          <w:rFonts w:ascii="仿宋" w:eastAsia="仿宋" w:hAnsi="仿宋" w:cs="仿宋" w:hint="eastAsia"/>
          <w:sz w:val="21"/>
          <w:szCs w:val="21"/>
        </w:rPr>
        <w:t>。</w:t>
      </w:r>
    </w:p>
    <w:p w14:paraId="3FE7694B" w14:textId="1FFEB819"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62631E" w:rsidRPr="0062631E">
        <w:rPr>
          <w:rFonts w:ascii="仿宋" w:eastAsia="仿宋" w:hAnsi="仿宋" w:cs="仿宋" w:hint="eastAsia"/>
          <w:sz w:val="21"/>
          <w:szCs w:val="21"/>
        </w:rPr>
        <w:t>随着环保理念深入人心与相关政策的持续收紧，低污染、低排放的环保油墨在印刷行业的</w:t>
      </w:r>
      <w:proofErr w:type="gramStart"/>
      <w:r w:rsidR="0062631E" w:rsidRPr="0062631E">
        <w:rPr>
          <w:rFonts w:ascii="仿宋" w:eastAsia="仿宋" w:hAnsi="仿宋" w:cs="仿宋" w:hint="eastAsia"/>
          <w:sz w:val="21"/>
          <w:szCs w:val="21"/>
        </w:rPr>
        <w:t>应用占</w:t>
      </w:r>
      <w:proofErr w:type="gramEnd"/>
      <w:r w:rsidR="0062631E" w:rsidRPr="0062631E">
        <w:rPr>
          <w:rFonts w:ascii="仿宋" w:eastAsia="仿宋" w:hAnsi="仿宋" w:cs="仿宋" w:hint="eastAsia"/>
          <w:sz w:val="21"/>
          <w:szCs w:val="21"/>
        </w:rPr>
        <w:t>比不断提升，但色彩匹配技术的滞后性成为制约其推广的关键瓶颈。目前，印刷行业在环保油墨色彩匹配过程中，存在目标色标制定不规范、色彩参数偏差无统一限值、不同印刷工艺适配性不足、环保指标与色彩质量难以协同等问题，导致印刷品色彩一致性差、生产损耗高、环保合</w:t>
      </w:r>
      <w:proofErr w:type="gramStart"/>
      <w:r w:rsidR="0062631E" w:rsidRPr="0062631E">
        <w:rPr>
          <w:rFonts w:ascii="仿宋" w:eastAsia="仿宋" w:hAnsi="仿宋" w:cs="仿宋" w:hint="eastAsia"/>
          <w:sz w:val="21"/>
          <w:szCs w:val="21"/>
        </w:rPr>
        <w:t>规</w:t>
      </w:r>
      <w:proofErr w:type="gramEnd"/>
      <w:r w:rsidR="0062631E" w:rsidRPr="0062631E">
        <w:rPr>
          <w:rFonts w:ascii="仿宋" w:eastAsia="仿宋" w:hAnsi="仿宋" w:cs="仿宋" w:hint="eastAsia"/>
          <w:sz w:val="21"/>
          <w:szCs w:val="21"/>
        </w:rPr>
        <w:t>风险增加。本标准立足行业实际需求，整合现有环保油墨、印刷工艺、色彩测量等相关国家标准与行业实践经验，明确环保油墨的有害物质限量要求与色彩匹配的核心技术参数，规范试验方法与检验规则，兼顾通用性与专项性，适用于主流印刷工艺与各类印刷品。标准的实施将有效统一行业技术规范，提升环保油墨印刷品的色彩质量与环保水平，推动印刷行业向绿色、高效、标准化方向转型，为行业高质量发展提供有力支撑</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0A285FBA" w:rsidR="00AC4878" w:rsidRDefault="00000000">
      <w:pPr>
        <w:pStyle w:val="affb"/>
        <w:rPr>
          <w:rFonts w:ascii="仿宋" w:eastAsia="仿宋" w:hAnsi="仿宋" w:cs="仿宋" w:hint="eastAsia"/>
          <w:szCs w:val="21"/>
        </w:rPr>
      </w:pPr>
      <w:r>
        <w:rPr>
          <w:rFonts w:ascii="仿宋" w:eastAsia="仿宋" w:hAnsi="仿宋" w:cs="仿宋" w:hint="eastAsia"/>
          <w:szCs w:val="21"/>
        </w:rPr>
        <w:lastRenderedPageBreak/>
        <w:t>本文件由</w:t>
      </w:r>
      <w:proofErr w:type="gramStart"/>
      <w:r w:rsidR="00142D04" w:rsidRPr="00142D04">
        <w:rPr>
          <w:rFonts w:ascii="仿宋" w:eastAsia="仿宋" w:hAnsi="仿宋" w:cs="仿宋" w:hint="eastAsia"/>
          <w:szCs w:val="21"/>
        </w:rPr>
        <w:t>人民今典科教</w:t>
      </w:r>
      <w:proofErr w:type="gramEnd"/>
      <w:r w:rsidR="00142D04" w:rsidRPr="00142D04">
        <w:rPr>
          <w:rFonts w:ascii="仿宋" w:eastAsia="仿宋" w:hAnsi="仿宋" w:cs="仿宋" w:hint="eastAsia"/>
          <w:szCs w:val="21"/>
        </w:rPr>
        <w:t>传媒有限公司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1E552277" w:rsidR="00AC4878" w:rsidRDefault="00142D04">
            <w:pPr>
              <w:pStyle w:val="affb"/>
              <w:ind w:firstLineChars="0" w:firstLine="0"/>
              <w:rPr>
                <w:rFonts w:ascii="仿宋" w:eastAsia="仿宋" w:hAnsi="仿宋" w:cs="仿宋" w:hint="eastAsia"/>
                <w:szCs w:val="21"/>
                <w:highlight w:val="yellow"/>
              </w:rPr>
            </w:pPr>
            <w:proofErr w:type="gramStart"/>
            <w:r w:rsidRPr="00142D04">
              <w:rPr>
                <w:rFonts w:ascii="仿宋" w:eastAsia="仿宋" w:hAnsi="仿宋" w:cs="仿宋" w:hint="eastAsia"/>
                <w:szCs w:val="21"/>
              </w:rPr>
              <w:t>人民今典科教</w:t>
            </w:r>
            <w:proofErr w:type="gramEnd"/>
            <w:r w:rsidRPr="00142D04">
              <w:rPr>
                <w:rFonts w:ascii="仿宋" w:eastAsia="仿宋" w:hAnsi="仿宋" w:cs="仿宋" w:hint="eastAsia"/>
                <w:szCs w:val="21"/>
              </w:rPr>
              <w:t>传媒有限公司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w:t>
      </w:r>
      <w:proofErr w:type="gramStart"/>
      <w:r w:rsidRPr="00366ACC">
        <w:rPr>
          <w:rFonts w:ascii="仿宋" w:eastAsia="仿宋" w:hAnsi="仿宋" w:cs="仿宋" w:hint="eastAsia"/>
          <w:szCs w:val="21"/>
        </w:rPr>
        <w:t>经团体</w:t>
      </w:r>
      <w:proofErr w:type="gramEnd"/>
      <w:r w:rsidRPr="00366ACC">
        <w:rPr>
          <w:rFonts w:ascii="仿宋" w:eastAsia="仿宋" w:hAnsi="仿宋" w:cs="仿宋" w:hint="eastAsia"/>
          <w:szCs w:val="21"/>
        </w:rPr>
        <w:t>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w:t>
      </w:r>
      <w:proofErr w:type="gramStart"/>
      <w:r w:rsidRPr="00366ACC">
        <w:rPr>
          <w:rFonts w:ascii="仿宋" w:eastAsia="仿宋" w:hAnsi="仿宋" w:cs="仿宋" w:hint="eastAsia"/>
          <w:szCs w:val="21"/>
        </w:rPr>
        <w:t>并内部</w:t>
      </w:r>
      <w:proofErr w:type="gramEnd"/>
      <w:r w:rsidRPr="00366ACC">
        <w:rPr>
          <w:rFonts w:ascii="仿宋" w:eastAsia="仿宋" w:hAnsi="仿宋" w:cs="仿宋" w:hint="eastAsia"/>
          <w:szCs w:val="21"/>
        </w:rPr>
        <w:t>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proofErr w:type="gramStart"/>
      <w:r w:rsidRPr="00366ACC">
        <w:rPr>
          <w:rFonts w:ascii="仿宋" w:eastAsia="仿宋" w:hAnsi="仿宋" w:cs="仿宋" w:hint="eastAsia"/>
          <w:szCs w:val="21"/>
        </w:rPr>
        <w:t>完善送</w:t>
      </w:r>
      <w:proofErr w:type="gramEnd"/>
      <w:r w:rsidRPr="00366ACC">
        <w:rPr>
          <w:rFonts w:ascii="仿宋" w:eastAsia="仿宋" w:hAnsi="仿宋" w:cs="仿宋" w:hint="eastAsia"/>
          <w:szCs w:val="21"/>
        </w:rPr>
        <w:t>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9088738"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r w:rsidR="00AD653C">
        <w:rPr>
          <w:rFonts w:ascii="仿宋" w:eastAsia="仿宋" w:hAnsi="仿宋" w:cs="仿宋" w:hint="eastAsia"/>
          <w:szCs w:val="21"/>
        </w:rPr>
        <w:t>、综述报告</w:t>
      </w:r>
    </w:p>
    <w:p w14:paraId="78AB6E13" w14:textId="6BEFC794" w:rsidR="001F2D0D" w:rsidRDefault="00AD653C">
      <w:pPr>
        <w:pStyle w:val="affb"/>
        <w:rPr>
          <w:rFonts w:ascii="仿宋" w:eastAsia="仿宋" w:hAnsi="仿宋" w:cs="仿宋" w:hint="eastAsia"/>
          <w:szCs w:val="21"/>
        </w:rPr>
      </w:pPr>
      <w:r w:rsidRPr="00AD653C">
        <w:rPr>
          <w:rFonts w:ascii="仿宋" w:eastAsia="仿宋" w:hAnsi="仿宋" w:cs="仿宋" w:hint="eastAsia"/>
          <w:szCs w:val="21"/>
        </w:rPr>
        <w:t xml:space="preserve">本标准在制定过程中开展了多维度、大样本的试验验证工作，覆盖胶印、柔印、凹印、丝印、数码印刷 5 种主流工艺，选取 8 类常用印刷基材（铜版纸、牛皮纸、塑料薄膜等）和 12 种主流品牌环保油墨，围绕有害物质限量、色彩参数偏差、基材适配性、耐候性等核心指标进行了共计 300 </w:t>
      </w:r>
      <w:proofErr w:type="gramStart"/>
      <w:r w:rsidRPr="00AD653C">
        <w:rPr>
          <w:rFonts w:ascii="仿宋" w:eastAsia="仿宋" w:hAnsi="仿宋" w:cs="仿宋" w:hint="eastAsia"/>
          <w:szCs w:val="21"/>
        </w:rPr>
        <w:t>余组平行</w:t>
      </w:r>
      <w:proofErr w:type="gramEnd"/>
      <w:r w:rsidRPr="00AD653C">
        <w:rPr>
          <w:rFonts w:ascii="仿宋" w:eastAsia="仿宋" w:hAnsi="仿宋" w:cs="仿宋" w:hint="eastAsia"/>
          <w:szCs w:val="21"/>
        </w:rPr>
        <w:t>试验。试验结果显示，按标准规定的技术要求与试验方法操作，环保油墨 VOCs 含量、重金属含量等环保指标合格率达 100%，不同工艺下印刷品色差控制在标准限值内的</w:t>
      </w:r>
      <w:proofErr w:type="gramStart"/>
      <w:r w:rsidRPr="00AD653C">
        <w:rPr>
          <w:rFonts w:ascii="仿宋" w:eastAsia="仿宋" w:hAnsi="仿宋" w:cs="仿宋" w:hint="eastAsia"/>
          <w:szCs w:val="21"/>
        </w:rPr>
        <w:t>比例超</w:t>
      </w:r>
      <w:proofErr w:type="gramEnd"/>
      <w:r w:rsidRPr="00AD653C">
        <w:rPr>
          <w:rFonts w:ascii="仿宋" w:eastAsia="仿宋" w:hAnsi="仿宋" w:cs="仿宋" w:hint="eastAsia"/>
          <w:szCs w:val="21"/>
        </w:rPr>
        <w:t xml:space="preserve"> 95%，批量生产色彩一致性偏差≤1.0ΔE*ab，验证了标准技术参数的科学性、合理性与可操作性；同时，通过对比不同测试仪器、环境条件对结果的影响，明确了统一测试标准的必要性，为标准条款的最终确定提供了充分的数据支撑</w:t>
      </w:r>
      <w:r w:rsidR="001F2D0D" w:rsidRPr="001F2D0D">
        <w:rPr>
          <w:rFonts w:ascii="仿宋" w:eastAsia="仿宋" w:hAnsi="仿宋" w:cs="仿宋" w:hint="eastAsia"/>
          <w:szCs w:val="21"/>
        </w:rPr>
        <w:t>。</w:t>
      </w:r>
    </w:p>
    <w:p w14:paraId="64D27F77" w14:textId="2B6C9BFD" w:rsidR="00AC4878" w:rsidRDefault="00AD653C">
      <w:pPr>
        <w:pStyle w:val="affb"/>
        <w:rPr>
          <w:rFonts w:ascii="仿宋" w:eastAsia="仿宋" w:hAnsi="仿宋" w:cs="仿宋" w:hint="eastAsia"/>
          <w:szCs w:val="21"/>
        </w:rPr>
      </w:pPr>
      <w:r>
        <w:rPr>
          <w:rFonts w:ascii="仿宋" w:eastAsia="仿宋" w:hAnsi="仿宋" w:cs="仿宋" w:hint="eastAsia"/>
          <w:szCs w:val="21"/>
        </w:rPr>
        <w:lastRenderedPageBreak/>
        <w:t>2</w:t>
      </w:r>
      <w:r w:rsidR="00000000">
        <w:rPr>
          <w:rFonts w:ascii="仿宋" w:eastAsia="仿宋" w:hAnsi="仿宋" w:cs="仿宋" w:hint="eastAsia"/>
          <w:szCs w:val="21"/>
        </w:rPr>
        <w:t>. 技术经济论证</w:t>
      </w:r>
    </w:p>
    <w:p w14:paraId="2BE8E6AE" w14:textId="291C89CC" w:rsidR="00AC4878" w:rsidRDefault="00AD653C">
      <w:pPr>
        <w:pStyle w:val="affb"/>
        <w:rPr>
          <w:rFonts w:ascii="仿宋" w:eastAsia="仿宋" w:hAnsi="仿宋" w:cs="仿宋" w:hint="eastAsia"/>
          <w:szCs w:val="21"/>
        </w:rPr>
      </w:pPr>
      <w:r w:rsidRPr="00AD653C">
        <w:rPr>
          <w:rFonts w:ascii="仿宋" w:eastAsia="仿宋" w:hAnsi="仿宋" w:cs="仿宋" w:hint="eastAsia"/>
          <w:szCs w:val="21"/>
        </w:rPr>
        <w:t>从技术层面看，本标准整合了现有环保油墨、色彩测量、印刷工艺等领域的成熟技术，明确的色彩参数限值、试验方法与检验规则符合行业实际生产需求，可直接被企业采纳应用，无需额外投入大量技术改造成本，技术可行性高；从经济层面分析，标准实施后可降低因色彩不匹配导致的废品率（预计下降 3%-5%），减少油墨浪费与返工成本，按行业平均水平测算，单家中小型印刷企业年节约成本可达 10-30 万元，大型企业年节约成本超百万元；同时，统一的技术规范可降低供应链对接中的质量争议与沟通成本，提升行业整体生产效率，长期来看将推动环保油墨产业规模化发展，形成技术升级与经济效益提升的良性循环</w:t>
      </w:r>
      <w:r w:rsidR="001F2D0D">
        <w:rPr>
          <w:rFonts w:ascii="仿宋" w:eastAsia="仿宋" w:hAnsi="仿宋" w:cs="仿宋" w:hint="eastAsia"/>
          <w:szCs w:val="21"/>
        </w:rPr>
        <w:t>。</w:t>
      </w:r>
    </w:p>
    <w:p w14:paraId="1A9C3497" w14:textId="1EAC9288" w:rsidR="00AC4878" w:rsidRDefault="00AD653C">
      <w:pPr>
        <w:pStyle w:val="affb"/>
        <w:rPr>
          <w:rFonts w:ascii="仿宋" w:eastAsia="仿宋" w:hAnsi="仿宋" w:cs="仿宋" w:hint="eastAsia"/>
          <w:szCs w:val="21"/>
        </w:rPr>
      </w:pPr>
      <w:r>
        <w:rPr>
          <w:rFonts w:ascii="仿宋" w:eastAsia="仿宋" w:hAnsi="仿宋" w:cs="仿宋" w:hint="eastAsia"/>
          <w:szCs w:val="21"/>
        </w:rPr>
        <w:t>3.</w:t>
      </w:r>
      <w:r w:rsidR="00000000">
        <w:rPr>
          <w:rFonts w:ascii="仿宋" w:eastAsia="仿宋" w:hAnsi="仿宋" w:cs="仿宋" w:hint="eastAsia"/>
          <w:szCs w:val="21"/>
        </w:rPr>
        <w:t xml:space="preserve"> 预期的经济效益</w:t>
      </w:r>
    </w:p>
    <w:p w14:paraId="6D96D5DA" w14:textId="0AA6A7C0" w:rsidR="00AC4878" w:rsidRDefault="00AD653C">
      <w:pPr>
        <w:pStyle w:val="affb"/>
        <w:rPr>
          <w:rFonts w:ascii="仿宋" w:eastAsia="仿宋" w:hAnsi="仿宋" w:cs="仿宋" w:hint="eastAsia"/>
          <w:szCs w:val="21"/>
        </w:rPr>
      </w:pPr>
      <w:r w:rsidRPr="00AD653C">
        <w:rPr>
          <w:rFonts w:ascii="仿宋" w:eastAsia="仿宋" w:hAnsi="仿宋" w:cs="仿宋" w:hint="eastAsia"/>
          <w:szCs w:val="21"/>
        </w:rPr>
        <w:t>本标准的实施将为印刷行业带来显著经济效益：一是降低生产损耗，通过规范色彩匹配流程与参数，减少因色彩偏差导致的原材料浪费和返工成本，提升资源利用效率；二是提升产品竞争力，色彩稳定性与环保合</w:t>
      </w:r>
      <w:proofErr w:type="gramStart"/>
      <w:r w:rsidRPr="00AD653C">
        <w:rPr>
          <w:rFonts w:ascii="仿宋" w:eastAsia="仿宋" w:hAnsi="仿宋" w:cs="仿宋" w:hint="eastAsia"/>
          <w:szCs w:val="21"/>
        </w:rPr>
        <w:t>规</w:t>
      </w:r>
      <w:proofErr w:type="gramEnd"/>
      <w:r w:rsidRPr="00AD653C">
        <w:rPr>
          <w:rFonts w:ascii="仿宋" w:eastAsia="仿宋" w:hAnsi="仿宋" w:cs="仿宋" w:hint="eastAsia"/>
          <w:szCs w:val="21"/>
        </w:rPr>
        <w:t>性双达标的印刷品更易满足下游客户需求，帮助企业拓展市场份额；三是优化产业结构，引导油墨生产企业聚焦环保型、</w:t>
      </w:r>
      <w:proofErr w:type="gramStart"/>
      <w:r w:rsidRPr="00AD653C">
        <w:rPr>
          <w:rFonts w:ascii="仿宋" w:eastAsia="仿宋" w:hAnsi="仿宋" w:cs="仿宋" w:hint="eastAsia"/>
          <w:szCs w:val="21"/>
        </w:rPr>
        <w:t>高色彩</w:t>
      </w:r>
      <w:proofErr w:type="gramEnd"/>
      <w:r w:rsidRPr="00AD653C">
        <w:rPr>
          <w:rFonts w:ascii="仿宋" w:eastAsia="仿宋" w:hAnsi="仿宋" w:cs="仿宋" w:hint="eastAsia"/>
          <w:szCs w:val="21"/>
        </w:rPr>
        <w:t>稳定性产品研发，推动行业技术升级与产品迭代；四是降低企业合</w:t>
      </w:r>
      <w:proofErr w:type="gramStart"/>
      <w:r w:rsidRPr="00AD653C">
        <w:rPr>
          <w:rFonts w:ascii="仿宋" w:eastAsia="仿宋" w:hAnsi="仿宋" w:cs="仿宋" w:hint="eastAsia"/>
          <w:szCs w:val="21"/>
        </w:rPr>
        <w:t>规</w:t>
      </w:r>
      <w:proofErr w:type="gramEnd"/>
      <w:r w:rsidRPr="00AD653C">
        <w:rPr>
          <w:rFonts w:ascii="仿宋" w:eastAsia="仿宋" w:hAnsi="仿宋" w:cs="仿宋" w:hint="eastAsia"/>
          <w:szCs w:val="21"/>
        </w:rPr>
        <w:t>成本，统一的环保与质量标准可避免企业因应对不同客户要求而重复投入检测与调整成本，提升生产规模化效应，助力行业整体经济效益提升</w:t>
      </w:r>
      <w:r w:rsidR="001F2D0D">
        <w:rPr>
          <w:rFonts w:ascii="仿宋" w:eastAsia="仿宋" w:hAnsi="仿宋" w:cs="仿宋" w:hint="eastAsia"/>
          <w:szCs w:val="21"/>
        </w:rPr>
        <w:t>。</w:t>
      </w:r>
    </w:p>
    <w:p w14:paraId="4F982925" w14:textId="4F19A03B" w:rsidR="00AC4878" w:rsidRDefault="00AD653C">
      <w:pPr>
        <w:pStyle w:val="affb"/>
        <w:rPr>
          <w:rFonts w:ascii="仿宋" w:eastAsia="仿宋" w:hAnsi="仿宋" w:cs="仿宋" w:hint="eastAsia"/>
          <w:szCs w:val="21"/>
        </w:rPr>
      </w:pPr>
      <w:r>
        <w:rPr>
          <w:rFonts w:ascii="仿宋" w:eastAsia="仿宋" w:hAnsi="仿宋" w:cs="仿宋" w:hint="eastAsia"/>
          <w:szCs w:val="21"/>
        </w:rPr>
        <w:t>4</w:t>
      </w:r>
      <w:r w:rsidR="00000000">
        <w:rPr>
          <w:rFonts w:ascii="仿宋" w:eastAsia="仿宋" w:hAnsi="仿宋" w:cs="仿宋" w:hint="eastAsia"/>
          <w:szCs w:val="21"/>
        </w:rPr>
        <w:t>. 社会效益和生态效益</w:t>
      </w:r>
    </w:p>
    <w:p w14:paraId="62991666" w14:textId="578D8926" w:rsidR="00AC4878" w:rsidRDefault="00AD653C">
      <w:pPr>
        <w:pStyle w:val="affb"/>
        <w:rPr>
          <w:rFonts w:ascii="仿宋" w:eastAsia="仿宋" w:hAnsi="仿宋" w:cs="仿宋" w:hint="eastAsia"/>
          <w:szCs w:val="21"/>
        </w:rPr>
      </w:pPr>
      <w:r w:rsidRPr="00AD653C">
        <w:rPr>
          <w:rFonts w:ascii="仿宋" w:eastAsia="仿宋" w:hAnsi="仿宋" w:cs="仿宋" w:hint="eastAsia"/>
          <w:szCs w:val="21"/>
        </w:rPr>
        <w:t>本标准的实施将产生积极的社会效益：一是规范行业市场秩序，统一的技术要求与检验规则可减少因标准不统一导致的质量争议，营造公平竞争的市场环境；二是保障人员与消费者健康，明确的环保油墨有害物质限量要求可减少印刷过程中有害气体排放与残留，降低对生产操作人员的健康风险，同时保障终端消费者使用安全；三是提升行业标准化水平，为印刷企业、设计机构、检验单位提供统一的技术依据，推动行业规范化、专业化发展；四是增强行业国际竞争力，与国际环保与质量标准接轨的技术规范，有助于我国印刷产品拓展国际市场，提升行业整体话语权</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6D44CC68" w14:textId="77777777" w:rsidR="00E85E9A" w:rsidRPr="00E85E9A" w:rsidRDefault="00E85E9A" w:rsidP="00E85E9A">
      <w:pPr>
        <w:pStyle w:val="affb"/>
        <w:rPr>
          <w:rFonts w:ascii="仿宋" w:eastAsia="仿宋" w:hAnsi="仿宋" w:cs="仿宋" w:hint="eastAsia"/>
          <w:szCs w:val="21"/>
        </w:rPr>
      </w:pPr>
      <w:bookmarkStart w:id="34" w:name="_Toc17233326"/>
      <w:bookmarkStart w:id="35" w:name="_Toc17233334"/>
      <w:bookmarkStart w:id="36" w:name="_Toc24884219"/>
      <w:bookmarkStart w:id="37" w:name="_Toc26648466"/>
      <w:bookmarkStart w:id="38" w:name="_Toc24884212"/>
      <w:r w:rsidRPr="00E85E9A">
        <w:rPr>
          <w:rFonts w:ascii="仿宋" w:eastAsia="仿宋" w:hAnsi="仿宋" w:cs="仿宋" w:hint="eastAsia"/>
          <w:szCs w:val="21"/>
        </w:rPr>
        <w:t>本文件规定了印刷品环保油墨色彩匹配的技术要求、试验方法、检验规则、标志、包装、运输和贮存。</w:t>
      </w:r>
    </w:p>
    <w:p w14:paraId="55B1F24D" w14:textId="03629F1B" w:rsidR="00AC4878"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本文件适用于使用环保油墨进行印刷生产的企业、色彩设计机构、质量检验机构及相关从业人员</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39" w:name="_Toc26986531"/>
      <w:bookmarkStart w:id="40" w:name="_Toc26986772"/>
      <w:bookmarkStart w:id="41" w:name="_Toc26718931"/>
      <w:bookmarkStart w:id="42" w:name="_Toc113282591"/>
      <w:bookmarkStart w:id="43" w:name="_Toc97192965"/>
      <w:bookmarkStart w:id="44" w:name="_Toc11915"/>
      <w:r>
        <w:rPr>
          <w:rFonts w:ascii="仿宋" w:eastAsia="仿宋" w:hAnsi="仿宋" w:cs="仿宋" w:hint="eastAsia"/>
          <w:b/>
          <w:bCs/>
          <w:szCs w:val="21"/>
        </w:rPr>
        <w:t>2.规范性引用文件</w:t>
      </w:r>
      <w:bookmarkEnd w:id="34"/>
      <w:bookmarkEnd w:id="35"/>
      <w:bookmarkEnd w:id="36"/>
      <w:bookmarkEnd w:id="37"/>
      <w:bookmarkEnd w:id="38"/>
      <w:bookmarkEnd w:id="39"/>
      <w:bookmarkEnd w:id="40"/>
      <w:bookmarkEnd w:id="41"/>
      <w:bookmarkEnd w:id="42"/>
      <w:bookmarkEnd w:id="43"/>
      <w:bookmarkEnd w:id="44"/>
    </w:p>
    <w:p w14:paraId="3CDDA844"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1731  漆膜、腻子膜柔韧性测定法</w:t>
      </w:r>
    </w:p>
    <w:p w14:paraId="1E8CFF23"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1766  色漆和清漆 涂层老化的评级方法</w:t>
      </w:r>
    </w:p>
    <w:p w14:paraId="2224B1AA"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1865  色漆和清漆 人工气候老化和人工辐射曝露 滤过的氙弧辐射</w:t>
      </w:r>
    </w:p>
    <w:p w14:paraId="74C09953"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3186  色漆、清漆和色漆与清漆用原材料 取样</w:t>
      </w:r>
    </w:p>
    <w:p w14:paraId="1BC70BCD"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9286  色漆和清漆 划格试验</w:t>
      </w:r>
    </w:p>
    <w:p w14:paraId="3E1C7AAF"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10335.1  涂布纸和纸板 涂布美术印刷纸 (铜版纸)</w:t>
      </w:r>
    </w:p>
    <w:p w14:paraId="659B62CA"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12914  纸和纸板 抗张强度的测定 恒速拉伸法（20mm/min）</w:t>
      </w:r>
    </w:p>
    <w:p w14:paraId="1529C9B6"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13217.3  油墨细度检验方法</w:t>
      </w:r>
    </w:p>
    <w:p w14:paraId="7F2BF4EC"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13217.7  油墨附着力检验方法</w:t>
      </w:r>
    </w:p>
    <w:p w14:paraId="54600F93"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14624  胶印油墨流动度检验方法</w:t>
      </w:r>
    </w:p>
    <w:p w14:paraId="04424E67"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28486  防霉剂中富马酸二甲酯含量的测定</w:t>
      </w:r>
    </w:p>
    <w:p w14:paraId="7EC66A47"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 30981  工业防护涂料中有害物质限量</w:t>
      </w:r>
    </w:p>
    <w:p w14:paraId="1CE83416"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34675  辐射固化涂料中挥发性有机化合物（VOC）含量的测定</w:t>
      </w:r>
    </w:p>
    <w:p w14:paraId="1322E113" w14:textId="77777777" w:rsidR="00E85E9A" w:rsidRPr="00E85E9A"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t>GB/T 34682  含有活性稀释剂的涂料中挥发性有机化合物（VOC）含量的测定</w:t>
      </w:r>
    </w:p>
    <w:p w14:paraId="6EC9F942" w14:textId="3C214868" w:rsidR="00AC4878" w:rsidRPr="0023380B" w:rsidRDefault="00E85E9A" w:rsidP="00E85E9A">
      <w:pPr>
        <w:pStyle w:val="affb"/>
        <w:rPr>
          <w:rFonts w:ascii="仿宋" w:eastAsia="仿宋" w:hAnsi="仿宋" w:cs="仿宋" w:hint="eastAsia"/>
          <w:szCs w:val="21"/>
        </w:rPr>
      </w:pPr>
      <w:r w:rsidRPr="00E85E9A">
        <w:rPr>
          <w:rFonts w:ascii="仿宋" w:eastAsia="仿宋" w:hAnsi="仿宋" w:cs="仿宋" w:hint="eastAsia"/>
          <w:szCs w:val="21"/>
        </w:rPr>
        <w:lastRenderedPageBreak/>
        <w:t>GB/T 38608  油墨中可挥发性有</w:t>
      </w:r>
    </w:p>
    <w:p w14:paraId="558A4E8F" w14:textId="77777777" w:rsidR="00AC4878" w:rsidRDefault="00000000">
      <w:pPr>
        <w:pStyle w:val="affb"/>
        <w:ind w:firstLineChars="0" w:firstLine="0"/>
        <w:rPr>
          <w:rFonts w:ascii="仿宋" w:eastAsia="仿宋" w:hAnsi="仿宋" w:cs="仿宋" w:hint="eastAsia"/>
          <w:b/>
          <w:bCs/>
          <w:szCs w:val="21"/>
        </w:rPr>
      </w:pPr>
      <w:bookmarkStart w:id="45" w:name="_Toc2484"/>
      <w:bookmarkStart w:id="46" w:name="_Toc113282592"/>
      <w:bookmarkStart w:id="47" w:name="_Toc97192966"/>
      <w:r>
        <w:rPr>
          <w:rFonts w:ascii="仿宋" w:eastAsia="仿宋" w:hAnsi="仿宋" w:cs="仿宋" w:hint="eastAsia"/>
          <w:b/>
          <w:bCs/>
          <w:szCs w:val="21"/>
        </w:rPr>
        <w:t>3.术语和定义</w:t>
      </w:r>
      <w:bookmarkEnd w:id="45"/>
      <w:bookmarkEnd w:id="46"/>
      <w:bookmarkEnd w:id="47"/>
    </w:p>
    <w:p w14:paraId="24EF2DB7" w14:textId="06118611" w:rsidR="00AC4878" w:rsidRPr="00A45AAA" w:rsidRDefault="006A10F1">
      <w:pPr>
        <w:pStyle w:val="affffffff"/>
        <w:adjustRightInd w:val="0"/>
        <w:snapToGrid w:val="0"/>
        <w:ind w:firstLine="420"/>
        <w:rPr>
          <w:rFonts w:ascii="仿宋" w:eastAsia="仿宋" w:hAnsi="仿宋" w:cs="仿宋" w:hint="eastAsia"/>
          <w:szCs w:val="21"/>
        </w:rPr>
      </w:pPr>
      <w:r w:rsidRPr="00A45AAA">
        <w:rPr>
          <w:rFonts w:ascii="仿宋" w:eastAsia="仿宋" w:hAnsi="仿宋" w:cs="仿宋" w:hint="eastAsia"/>
          <w:szCs w:val="21"/>
        </w:rPr>
        <w:t>明确</w:t>
      </w:r>
      <w:r w:rsidR="00E85E9A" w:rsidRPr="00A45AAA">
        <w:rPr>
          <w:rFonts w:ascii="仿宋" w:eastAsia="仿宋" w:hAnsi="仿宋" w:cs="仿宋" w:hint="eastAsia"/>
          <w:szCs w:val="21"/>
        </w:rPr>
        <w:t>色彩匹配</w:t>
      </w:r>
      <w:r w:rsidRPr="00A45AAA">
        <w:rPr>
          <w:rFonts w:ascii="仿宋" w:eastAsia="仿宋" w:hAnsi="仿宋" w:cs="仿宋" w:hint="eastAsia"/>
          <w:szCs w:val="21"/>
        </w:rPr>
        <w:t>等核心术语的定义。</w:t>
      </w:r>
    </w:p>
    <w:p w14:paraId="3D23F1A3" w14:textId="1DBA3C55" w:rsidR="00A45AAA" w:rsidRPr="00A45AAA" w:rsidRDefault="00A45AAA" w:rsidP="00A45AAA">
      <w:pPr>
        <w:pStyle w:val="affb"/>
        <w:ind w:firstLineChars="0" w:firstLine="0"/>
        <w:rPr>
          <w:rFonts w:ascii="仿宋" w:eastAsia="仿宋" w:hAnsi="仿宋" w:cs="仿宋" w:hint="eastAsia"/>
          <w:b/>
          <w:bCs/>
          <w:szCs w:val="21"/>
        </w:rPr>
      </w:pPr>
      <w:r w:rsidRPr="00A45AAA">
        <w:rPr>
          <w:rFonts w:ascii="仿宋" w:eastAsia="仿宋" w:hAnsi="仿宋" w:cs="仿宋" w:hint="eastAsia"/>
          <w:b/>
          <w:bCs/>
          <w:szCs w:val="21"/>
        </w:rPr>
        <w:t>4.</w:t>
      </w:r>
      <w:r w:rsidRPr="00A45AAA">
        <w:rPr>
          <w:rFonts w:ascii="仿宋" w:eastAsia="仿宋" w:hAnsi="仿宋" w:cs="仿宋" w:hint="eastAsia"/>
          <w:b/>
          <w:bCs/>
          <w:szCs w:val="21"/>
        </w:rPr>
        <w:t>技术要求</w:t>
      </w:r>
    </w:p>
    <w:p w14:paraId="26F9E105" w14:textId="77777777" w:rsidR="00A45AAA" w:rsidRPr="00A45AAA" w:rsidRDefault="00A45AAA" w:rsidP="00A45AAA">
      <w:pPr>
        <w:pStyle w:val="affffffff"/>
        <w:adjustRightInd w:val="0"/>
        <w:snapToGrid w:val="0"/>
        <w:ind w:firstLine="420"/>
        <w:rPr>
          <w:rFonts w:ascii="仿宋" w:eastAsia="仿宋" w:hAnsi="仿宋" w:cs="仿宋" w:hint="eastAsia"/>
          <w:szCs w:val="21"/>
        </w:rPr>
      </w:pPr>
      <w:r w:rsidRPr="00A45AAA">
        <w:rPr>
          <w:rFonts w:ascii="仿宋" w:eastAsia="仿宋" w:hAnsi="仿宋" w:cs="仿宋" w:hint="eastAsia"/>
          <w:szCs w:val="21"/>
        </w:rPr>
        <w:t>规定环保油墨的有害物质限量、物理性能，色彩匹配的基本原则、核心参数偏差限值，以及不同印刷方式的专项适配要求。</w:t>
      </w:r>
    </w:p>
    <w:p w14:paraId="5B3A3862" w14:textId="53AE1E88" w:rsidR="00A45AAA" w:rsidRPr="00A45AAA" w:rsidRDefault="00A45AAA" w:rsidP="00A45AAA">
      <w:pPr>
        <w:pStyle w:val="affb"/>
        <w:ind w:firstLineChars="0" w:firstLine="0"/>
        <w:rPr>
          <w:rFonts w:ascii="仿宋" w:eastAsia="仿宋" w:hAnsi="仿宋" w:cs="仿宋" w:hint="eastAsia"/>
          <w:b/>
          <w:bCs/>
          <w:szCs w:val="21"/>
        </w:rPr>
      </w:pPr>
      <w:r w:rsidRPr="00A45AAA">
        <w:rPr>
          <w:rFonts w:ascii="仿宋" w:eastAsia="仿宋" w:hAnsi="仿宋" w:cs="仿宋" w:hint="eastAsia"/>
          <w:b/>
          <w:bCs/>
          <w:szCs w:val="21"/>
        </w:rPr>
        <w:t>5.</w:t>
      </w:r>
      <w:r w:rsidRPr="00A45AAA">
        <w:rPr>
          <w:rFonts w:ascii="仿宋" w:eastAsia="仿宋" w:hAnsi="仿宋" w:cs="仿宋" w:hint="eastAsia"/>
          <w:b/>
          <w:bCs/>
          <w:szCs w:val="21"/>
        </w:rPr>
        <w:t>试验方法</w:t>
      </w:r>
    </w:p>
    <w:p w14:paraId="6391F0F3" w14:textId="77777777" w:rsidR="00A45AAA" w:rsidRPr="00A45AAA" w:rsidRDefault="00A45AAA" w:rsidP="00A45AAA">
      <w:pPr>
        <w:pStyle w:val="affffffff"/>
        <w:adjustRightInd w:val="0"/>
        <w:snapToGrid w:val="0"/>
        <w:ind w:firstLine="420"/>
        <w:rPr>
          <w:rFonts w:ascii="仿宋" w:eastAsia="仿宋" w:hAnsi="仿宋" w:cs="仿宋" w:hint="eastAsia"/>
          <w:szCs w:val="21"/>
        </w:rPr>
      </w:pPr>
      <w:r w:rsidRPr="00A45AAA">
        <w:rPr>
          <w:rFonts w:ascii="仿宋" w:eastAsia="仿宋" w:hAnsi="仿宋" w:cs="仿宋" w:hint="eastAsia"/>
          <w:szCs w:val="21"/>
        </w:rPr>
        <w:t>明确样品制备的基材选择、工艺参数与状态调节要求，规范环保指标、色彩参数、耐候性、基材适配性及不同印刷方式的专项测试流程与条件。</w:t>
      </w:r>
    </w:p>
    <w:p w14:paraId="70D582F3" w14:textId="07B4D4D4" w:rsidR="00A45AAA" w:rsidRPr="00A45AAA" w:rsidRDefault="00A45AAA" w:rsidP="00A45AAA">
      <w:pPr>
        <w:pStyle w:val="affb"/>
        <w:ind w:firstLineChars="0" w:firstLine="0"/>
        <w:rPr>
          <w:rFonts w:ascii="仿宋" w:eastAsia="仿宋" w:hAnsi="仿宋" w:cs="仿宋" w:hint="eastAsia"/>
          <w:b/>
          <w:bCs/>
          <w:szCs w:val="21"/>
        </w:rPr>
      </w:pPr>
      <w:r w:rsidRPr="00A45AAA">
        <w:rPr>
          <w:rFonts w:ascii="仿宋" w:eastAsia="仿宋" w:hAnsi="仿宋" w:cs="仿宋" w:hint="eastAsia"/>
          <w:b/>
          <w:bCs/>
          <w:szCs w:val="21"/>
        </w:rPr>
        <w:t>6.</w:t>
      </w:r>
      <w:r w:rsidRPr="00A45AAA">
        <w:rPr>
          <w:rFonts w:ascii="仿宋" w:eastAsia="仿宋" w:hAnsi="仿宋" w:cs="仿宋" w:hint="eastAsia"/>
          <w:b/>
          <w:bCs/>
          <w:szCs w:val="21"/>
        </w:rPr>
        <w:t>检验规则</w:t>
      </w:r>
    </w:p>
    <w:p w14:paraId="4A0D9AF7" w14:textId="77777777" w:rsidR="00A45AAA" w:rsidRPr="00A45AAA" w:rsidRDefault="00A45AAA" w:rsidP="00A45AAA">
      <w:pPr>
        <w:pStyle w:val="affffffff"/>
        <w:adjustRightInd w:val="0"/>
        <w:snapToGrid w:val="0"/>
        <w:ind w:firstLine="420"/>
        <w:rPr>
          <w:rFonts w:ascii="仿宋" w:eastAsia="仿宋" w:hAnsi="仿宋" w:cs="仿宋" w:hint="eastAsia"/>
          <w:szCs w:val="21"/>
        </w:rPr>
      </w:pPr>
      <w:r w:rsidRPr="00A45AAA">
        <w:rPr>
          <w:rFonts w:ascii="仿宋" w:eastAsia="仿宋" w:hAnsi="仿宋" w:cs="仿宋" w:hint="eastAsia"/>
          <w:szCs w:val="21"/>
        </w:rPr>
        <w:t>划分出厂检验与型式检验的适用场景及检验项目，明确抽样方法、基数与数量要求，制定合格判定与不合格处理的具体规则。</w:t>
      </w:r>
    </w:p>
    <w:p w14:paraId="06FEC4C9" w14:textId="4E001AA9" w:rsidR="00A45AAA" w:rsidRPr="00A45AAA" w:rsidRDefault="00A45AAA" w:rsidP="00A45AAA">
      <w:pPr>
        <w:pStyle w:val="affb"/>
        <w:ind w:firstLineChars="0" w:firstLine="0"/>
        <w:rPr>
          <w:rFonts w:ascii="仿宋" w:eastAsia="仿宋" w:hAnsi="仿宋" w:cs="仿宋" w:hint="eastAsia"/>
          <w:b/>
          <w:bCs/>
          <w:szCs w:val="21"/>
        </w:rPr>
      </w:pPr>
      <w:r w:rsidRPr="00A45AAA">
        <w:rPr>
          <w:rFonts w:ascii="仿宋" w:eastAsia="仿宋" w:hAnsi="仿宋" w:cs="仿宋" w:hint="eastAsia"/>
          <w:b/>
          <w:bCs/>
          <w:szCs w:val="21"/>
        </w:rPr>
        <w:t>7.</w:t>
      </w:r>
      <w:r w:rsidRPr="00A45AAA">
        <w:rPr>
          <w:rFonts w:ascii="仿宋" w:eastAsia="仿宋" w:hAnsi="仿宋" w:cs="仿宋" w:hint="eastAsia"/>
          <w:b/>
          <w:bCs/>
          <w:szCs w:val="21"/>
        </w:rPr>
        <w:t>标志、包装、运输和贮存</w:t>
      </w:r>
    </w:p>
    <w:p w14:paraId="4FCDABBF" w14:textId="750B9FC1" w:rsidR="002A16A9" w:rsidRPr="00A45AAA" w:rsidRDefault="00A45AAA" w:rsidP="00A45AAA">
      <w:pPr>
        <w:pStyle w:val="affffffff"/>
        <w:adjustRightInd w:val="0"/>
        <w:snapToGrid w:val="0"/>
        <w:ind w:firstLine="420"/>
        <w:rPr>
          <w:rFonts w:ascii="仿宋" w:eastAsia="仿宋" w:hAnsi="仿宋" w:cs="仿宋" w:hint="eastAsia"/>
          <w:szCs w:val="21"/>
        </w:rPr>
      </w:pPr>
      <w:r w:rsidRPr="00A45AAA">
        <w:rPr>
          <w:rFonts w:ascii="仿宋" w:eastAsia="仿宋" w:hAnsi="仿宋" w:cs="仿宋" w:hint="eastAsia"/>
          <w:szCs w:val="21"/>
        </w:rPr>
        <w:t>规定产品包装标志应包含的核心信息，明确环保油墨与印刷品的包装材料、方式，以及运输过程中的环境、防护要求和贮存条件、期限。</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9816" w14:textId="77777777" w:rsidR="00E42614" w:rsidRDefault="00E42614">
      <w:r>
        <w:separator/>
      </w:r>
    </w:p>
  </w:endnote>
  <w:endnote w:type="continuationSeparator" w:id="0">
    <w:p w14:paraId="1DE88A14" w14:textId="77777777" w:rsidR="00E42614" w:rsidRDefault="00E4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A961" w14:textId="77777777" w:rsidR="00E42614" w:rsidRDefault="00E42614">
      <w:r>
        <w:separator/>
      </w:r>
    </w:p>
  </w:footnote>
  <w:footnote w:type="continuationSeparator" w:id="0">
    <w:p w14:paraId="39A6122C" w14:textId="77777777" w:rsidR="00E42614" w:rsidRDefault="00E42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2D04"/>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A19"/>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3FFD"/>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31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5AAA"/>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653C"/>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614"/>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5E9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54474"/>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1786</Words>
  <Characters>2484</Characters>
  <Application>Microsoft Office Word</Application>
  <DocSecurity>0</DocSecurity>
  <Lines>112</Lines>
  <Paragraphs>170</Paragraphs>
  <ScaleCrop>false</ScaleCrop>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