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98938635"/>
      <w:bookmarkStart w:id="1" w:name="_Toc298937188"/>
      <w:bookmarkStart w:id="2" w:name="_Toc298937462"/>
      <w:bookmarkStart w:id="3" w:name="_Toc37234703"/>
      <w:bookmarkStart w:id="4" w:name="_Toc298937152"/>
      <w:bookmarkStart w:id="5" w:name="_Toc298937609"/>
      <w:bookmarkStart w:id="6" w:name="_Toc499110426"/>
      <w:bookmarkStart w:id="7" w:name="_Toc298937167"/>
      <w:bookmarkStart w:id="8" w:name="_Toc298938783"/>
      <w:bookmarkStart w:id="9" w:name="_Toc309993180"/>
      <w:bookmarkStart w:id="10" w:name="_Toc304825081"/>
      <w:bookmarkStart w:id="11" w:name="_Toc309994551"/>
      <w:bookmarkStart w:id="12" w:name="_Toc298937276"/>
      <w:bookmarkStart w:id="13" w:name="_Toc304825008"/>
      <w:bookmarkStart w:id="14" w:name="_Toc309995578"/>
      <w:bookmarkStart w:id="15" w:name="_Toc298923383"/>
      <w:bookmarkStart w:id="16" w:name="_Toc298937322"/>
      <w:bookmarkStart w:id="17" w:name="_Toc309995999"/>
      <w:bookmarkStart w:id="18" w:name="_Toc6138"/>
      <w:bookmarkStart w:id="19" w:name="_Toc309995390"/>
      <w:bookmarkStart w:id="20" w:name="_Toc309995472"/>
      <w:bookmarkStart w:id="21" w:name="_Toc298937201"/>
      <w:bookmarkStart w:id="22" w:name="_Toc304824969"/>
      <w:bookmarkStart w:id="23" w:name="_Toc298937419"/>
      <w:bookmarkStart w:id="24" w:name="_Toc304828066"/>
      <w:bookmarkStart w:id="25" w:name="_Toc298937357"/>
      <w:bookmarkStart w:id="26" w:name="_Toc309997040"/>
      <w:bookmarkStart w:id="27" w:name="_Toc310002637"/>
      <w:bookmarkStart w:id="28" w:name="_Toc298937100"/>
      <w:bookmarkStart w:id="29" w:name="_Toc298936801"/>
      <w:bookmarkStart w:id="30" w:name="_Toc304402664"/>
      <w:bookmarkStart w:id="31" w:name="_Toc298936924"/>
    </w:p>
    <w:p w14:paraId="705BFDC1">
      <w:pPr>
        <w:pStyle w:val="143"/>
        <w:numPr>
          <w:ilvl w:val="0"/>
          <w:numId w:val="0"/>
        </w:numPr>
        <w:spacing w:before="312" w:after="312" w:line="24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《建筑垃圾循环再利用技术规范》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一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、任务来源</w:t>
      </w:r>
    </w:p>
    <w:p w14:paraId="2BD45F7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2025年10月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"/>
          <w:woUserID w:val="1"/>
        </w:rPr>
        <w:t>20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>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，中国西部开发促进会发布《建筑垃圾循环再利用技术规范》团体标准立项通知,开展团体标准的编制工作。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bookmarkStart w:id="32" w:name="_Toc298937549"/>
      <w:bookmarkEnd w:id="32"/>
      <w:bookmarkStart w:id="33" w:name="BT1"/>
      <w:bookmarkEnd w:id="33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1.目的</w:t>
      </w:r>
    </w:p>
    <w:p w14:paraId="0E58F26E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为建筑垃圾循环再利用全链条提供统一、科学的技术指引，解决当前行业中存在的技术应用不规范、流程衔接不顺畅、再生产品质量不稳定等问题。通过明确建筑垃圾从收集、分类、运输，到破碎、筛分、提纯，再到再生骨料、再生建材等产品生产与应用的关键技术参数、操作流程和质量要求，建立覆盖“源头减量—中间处理—终端应用” 的完整技术框架。同时，结合行业实际需求与发展趋势，衔接国家相关政策与现有国家标准、行业标准，确保标准的实用性与前瞻性，引导企业采用先进适用技术，避免因技术无序应用导致的资源浪费或二次污染，推动建筑垃圾循环再利用从“被动处理”向“主动高效利用”转变，为行业规范化发展提供技术依据，助力实现建筑垃圾资源化利用的规模化、高质量推进。</w:t>
      </w:r>
    </w:p>
    <w:p w14:paraId="38381B68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2.意义</w:t>
      </w:r>
    </w:p>
    <w:p w14:paraId="1C3D9695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首先在环境层面，有助于减少建筑垃圾填埋、堆放带来的土地占用与生态污染，降低对天然砂石等不可再生资源的依赖，缓解资源短缺与生态保护之间的矛盾，为践行绿色发展理念、改善生态环境质量提供技术支撑。在经济层面，通过统一技术标准，可降低企业技术研发与生产运营成本，提升再生产品的市场认可度与竞争力，推动形成 “建筑垃圾 — 再生资源 — 新型建材” 的产业链闭环，培育新的经济增长点，促进循环经济产业发展。在行业层面，能够规范市场秩序，避免因技术水平参差不齐导致的恶性竞争，引导行业向技术密集型、绿色低碳型转型，提升行业整体技术水平与可持续发展能力。在社会层面，可增强社会各界对建筑垃圾资源化价值的认知，推动形成节约资源、保护环境的生产生活方式，为实现 “双碳” 目标与建设资源节约型、环境友好型社会奠定基础。</w:t>
      </w:r>
    </w:p>
    <w:p w14:paraId="1A6555C0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3.必要性</w:t>
      </w:r>
    </w:p>
    <w:p w14:paraId="02877DB1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当前建筑垃圾循环再利用行业发展面临显著的技术规范缺失问题，成为制约行业高质量发展的关键瓶颈，凸显了本团体标准起草的必要性。一方面，现有相关标准多聚焦于单一环节或特定产品，缺乏对全链条技术的系统覆盖，导致企业在实际运营中缺乏统一依据，部分企业因技术不规范出现再生产品质量不达标、应用场景受限等问题，严重影响市场对再生产品的信任度，阻碍资源化利用规模扩大。另一方面，随着国家对建筑垃圾资源化利用的政策要求不断提高，各地虽积极推进相关工作，但因缺乏统一的技术规范，区域间技术应用差异较大，难以形成协同推进格局，甚至出现资源错配、效率低下等情况。此外，行业内新技术、新工艺不断涌现，亟需通过标准将成熟技术固化推广，同时为新技术应用预留空间，避免技术创新与实际应用脱节。因此，制定统一的团体标准，是解决行业当前痛点、落实国家政策要求、推动技术创新与产业融合的必要举措，对保障行业健康有序发展具有不可替代的作用。。</w:t>
      </w:r>
    </w:p>
    <w:p w14:paraId="1448D036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综上所述，制定《建筑垃圾循环再利用技术规范》团体标准对于规范认定流程、推动节能减排科技创新、树立行业标杆以及促进可持续发展等方面都具有重要意义和必要性。这将有助于提升企业在节能减排领域的科技创新能力和市场竞争力，推动整个行业向更加环保、低碳的方向发展。</w:t>
      </w:r>
    </w:p>
    <w:p w14:paraId="62348F23">
      <w:pPr>
        <w:pStyle w:val="143"/>
        <w:numPr>
          <w:ilvl w:val="0"/>
          <w:numId w:val="0"/>
        </w:numPr>
        <w:spacing w:before="312" w:after="312"/>
        <w:ind w:left="0" w:leftChars="0" w:firstLine="0" w:firstLineChars="0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bookmarkStart w:id="34" w:name="BT3"/>
      <w:bookmarkEnd w:id="34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起草单位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和主要工作成员及其所作工作</w:t>
      </w:r>
    </w:p>
    <w:p w14:paraId="12D61796">
      <w:pPr>
        <w:pStyle w:val="30"/>
        <w:ind w:left="0" w:leftChars="0" w:firstLine="0" w:firstLineChars="0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1.起草单位</w:t>
      </w:r>
    </w:p>
    <w:p w14:paraId="33722D0E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中国西部开发促进会</w:t>
      </w:r>
      <w:r>
        <w:rPr>
          <w:rFonts w:hint="eastAsia" w:ascii="仿宋" w:hAnsi="仿宋" w:eastAsia="仿宋" w:cs="仿宋"/>
          <w:sz w:val="21"/>
          <w:szCs w:val="21"/>
        </w:rPr>
        <w:t>提出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并</w:t>
      </w:r>
      <w:r>
        <w:rPr>
          <w:rFonts w:hint="eastAsia" w:ascii="仿宋" w:hAnsi="仿宋" w:eastAsia="仿宋" w:cs="仿宋"/>
          <w:sz w:val="21"/>
          <w:szCs w:val="21"/>
        </w:rPr>
        <w:t>归口。</w:t>
      </w:r>
    </w:p>
    <w:p w14:paraId="3F8B68C3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"/>
          <w:woUserID w:val="1"/>
        </w:rPr>
        <w:t>广东恒基建设有限公司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等</w:t>
      </w: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共同</w:t>
      </w:r>
      <w:r>
        <w:rPr>
          <w:rFonts w:hint="eastAsia" w:ascii="仿宋" w:hAnsi="仿宋" w:eastAsia="仿宋" w:cs="仿宋"/>
          <w:sz w:val="21"/>
          <w:szCs w:val="21"/>
        </w:rPr>
        <w:t>起草。</w:t>
      </w:r>
    </w:p>
    <w:p w14:paraId="6C2D1883">
      <w:pPr>
        <w:pStyle w:val="30"/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主要工作成员及其所做工作</w:t>
      </w:r>
    </w:p>
    <w:p w14:paraId="4F06396F">
      <w:pPr>
        <w:pStyle w:val="30"/>
        <w:numPr>
          <w:ilvl w:val="0"/>
          <w:numId w:val="0"/>
        </w:numPr>
        <w:ind w:leftChars="0"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本文件主要主要工作及工作职责见表1。</w:t>
      </w:r>
    </w:p>
    <w:p w14:paraId="0BB1C4A3">
      <w:pPr>
        <w:pStyle w:val="30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CA2A8E8">
      <w:pPr>
        <w:pStyle w:val="30"/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表1 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 w14:paraId="440D9251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"/>
                <w:woUserID w:val="1"/>
              </w:rPr>
              <w:t>广东恒基建设有限公司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5342" w:type="dxa"/>
          </w:tcPr>
          <w:p w14:paraId="50D897F4">
            <w:pPr>
              <w:pStyle w:val="30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本项标准行业的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技术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、标准的编制原则</w:t>
      </w:r>
    </w:p>
    <w:p w14:paraId="05199C8B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标准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编制</w:t>
      </w:r>
      <w:r>
        <w:rPr>
          <w:rFonts w:hint="eastAsia" w:ascii="仿宋" w:hAnsi="仿宋" w:eastAsia="仿宋" w:cs="仿宋"/>
          <w:sz w:val="21"/>
          <w:szCs w:val="21"/>
        </w:rPr>
        <w:t>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、标准编制过程</w:t>
      </w:r>
    </w:p>
    <w:p w14:paraId="6D1CE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5.1 标准调研</w:t>
      </w:r>
    </w:p>
    <w:p w14:paraId="4A928E5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标准调研由</w:t>
      </w:r>
      <w:r>
        <w:rPr>
          <w:rFonts w:hint="eastAsia" w:ascii="仿宋" w:hAnsi="仿宋" w:eastAsia="仿宋" w:cs="仿宋"/>
          <w:sz w:val="21"/>
          <w:szCs w:val="21"/>
          <w:lang w:val="en-US" w:eastAsia="zh"/>
          <w:woUserID w:val="1"/>
        </w:rPr>
        <w:t>中国西部开发促进会联合广东恒基建设有限公司</w:t>
      </w:r>
      <w:bookmarkStart w:id="56" w:name="_GoBack"/>
      <w:bookmarkEnd w:id="56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共同组织实施，核心目标是全面掌握建筑垃圾循环再利用行业的技术现状、应用需求及现存问题。调研范围覆盖产业链全环节，包括建筑垃圾产生单位、处理单位、应用单位及监管部门。通过实地走访、文献梳理、座谈访谈及问卷调研等方式，系统梳理当前行业在建筑垃圾分类收集、破碎筛分技术、再生产品质量控制、应用场景适配等方面的不规范问题，明确技术参数缺失、流程衔接不畅等关键痛点。调研结束后形成《建筑垃圾循环再利用行业调研总报告》，包含行业现状分析、技术需求清单、标准核心内容建议等，为后续标准立项与草案编制提供数据支撑和依据。​</w:t>
      </w:r>
    </w:p>
    <w:p w14:paraId="04940C1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5.2. 标准立项</w:t>
      </w:r>
    </w:p>
    <w:p w14:paraId="3FB8035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2025年10月，中国西部开发促进会联合起草单位首先组建立项筹备小组，明确各参与方职责；随后依据调研成果编制《团体标准立项建议书》，内容涵盖标准名称、制定背景与意义、拟解决的核心问题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。</w:t>
      </w:r>
    </w:p>
    <w:p w14:paraId="72A91C8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5.3 </w:t>
      </w:r>
      <w:r>
        <w:rPr>
          <w:rFonts w:hint="eastAsia" w:ascii="仿宋" w:hAnsi="仿宋" w:eastAsia="仿宋" w:cs="仿宋"/>
          <w:sz w:val="21"/>
          <w:szCs w:val="21"/>
        </w:rPr>
        <w:t>形成标准草案</w:t>
      </w:r>
    </w:p>
    <w:p w14:paraId="19C09E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在理论研究基础上，起草组在标准编制过程中充分借鉴已有的理论研究和实践成果，基于我国基本国情，经过数次修改，形成了《建筑垃圾循环再利用技术规范》标准草案稿。。</w:t>
      </w:r>
    </w:p>
    <w:p w14:paraId="539B968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 xml:space="preserve"> 征求意见阶段</w:t>
      </w:r>
    </w:p>
    <w:p w14:paraId="475FFDA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建筑垃圾循环再利用技术规范。起草组形成了《建筑垃圾循环再利用技术规范》（征求意见稿）。。</w:t>
      </w:r>
    </w:p>
    <w:p w14:paraId="2DBA691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5.5 标准送审</w:t>
      </w:r>
    </w:p>
    <w:p w14:paraId="217C915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拟定于2025年11月召集专家审核标准，汇总专家审核意见之后，修改标准并形成标准报批稿。</w:t>
      </w:r>
    </w:p>
    <w:p w14:paraId="6BA8A9F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5.6 标准报批</w:t>
      </w:r>
    </w:p>
    <w:p w14:paraId="28C5E82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  <w:t>将报批稿上传至协会，等待标准发布。</w:t>
      </w:r>
    </w:p>
    <w:p w14:paraId="0431BCC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六、试验验证的分析、综述报告，技术经济论证，预期的经济效益、社会效益和生态效益</w:t>
      </w:r>
    </w:p>
    <w:p w14:paraId="5D374B4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 试验验证分析</w:t>
      </w:r>
    </w:p>
    <w:p w14:paraId="0727891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为保障建筑垃圾循环再利用技术规范的科学性与可操作性，编制组联合科研机构、再生资源企业及检测机构开展专项试验验证，重点围绕标准草案中关键技术要求的合理性与落地性展开验证分析。试验对象覆盖建筑垃圾处理全链条核心环节，包括建筑垃圾分类分拣、再生骨料破碎筛分、再生建材生产应用三大模块，确保验证结果能支撑标准各章节技术参数设定。</w:t>
      </w:r>
    </w:p>
    <w:p w14:paraId="78269DF9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试验采用“模拟生产+实际应用”双场景验证模式，分类分拣环节选取不同类型建筑垃圾，通过调整分拣设备参数、优化人工辅助流程，验证分类效率与纯度是否符合标准草案要求；破碎筛分环节针对再生骨料生产，测试不同破碎机型、筛分孔径下骨料的粒径分布、颗粒形状及杂质含量，对比标准草案中骨料质量指标；再生建材应用环节则制备再生混凝土、再生透水砖等产品，按相关检测规范测试其抗压强度、耐久性、透水系数等性能，验证再生产品应用场景的适配性。</w:t>
      </w:r>
    </w:p>
    <w:p w14:paraId="601424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试验过程中同步记录数据并开展交叉分析，若发现某环节参数未达预期，及时联合技术专家调整设备参数或工艺流程，重新验证直至符合标准要求。通过多轮试验，明确各关键技术环节的最优参数范围，为标准草案中技术要求的确定提供实测数据支撑，避免因技术参数脱离实际导致标准落地困难，同时提升标准的公信力与行业认可度，确保标准发布后能有效指导企业生产实践。</w:t>
      </w:r>
    </w:p>
    <w:p w14:paraId="0CCF6F6F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综述报告</w:t>
      </w:r>
    </w:p>
    <w:p w14:paraId="6948936B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国内标准情况​</w:t>
      </w:r>
    </w:p>
    <w:p w14:paraId="6298F1F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国内围绕建筑垃圾循环再利用已形成以国家标准为核心、行业标准为支撑、地方标准为补充的多层级标准体系，覆盖建筑垃圾全生命周期关键环节。国家标准层面，已出台《建筑垃圾分类》《再生骨料应用技术规程》《建筑垃圾处理技术标准》等基础性标准，明确建筑垃圾的分类原则、再生骨料的质量指标及处理流程的基本要求；行业标准聚焦细分领域，如住建部发布的标准规范再生混凝土、再生砂浆等产品的生产与施工技术，生态环境部相关标准则对建筑垃圾处理过程中的污染控制提出要求。近年来，在 “双碳” 目标与绿色建筑政策推动下，地方标准进一步细化实施要求，多地结合区域产业特点出台再生建材应用比例要求、本地化处理技术规范等，如部分省市明确市政工程中再生骨料的最低使用比例。但整体来看，国内标准仍存在部分环节衔接不足的问题，如跨区域建筑垃圾转移处理的技术规范尚未统一，智能化分拣、新型再生建材研发等新兴领域的标准更新滞后于技术发展，且标准多侧重技术参数设定，对全链条质量追溯、环境效益评估的系统性规范仍需完善，为团体标准聚焦细分场景、补充技术空白提供了空间。</w:t>
      </w:r>
    </w:p>
    <w:p w14:paraId="5EB64E3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国外标准情况​</w:t>
      </w:r>
    </w:p>
    <w:p w14:paraId="7CA58FB9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国外建筑垃圾循环再利用标准以欧盟、美国、日本为主要代表，体系构建更注重政策导向与市场应用的协同，技术要求兼顾先进性与实用性。欧盟通过《废弃物框架指令》确立 “减量化、再利用、资源化” 的优先排序原则，配套制定的再生骨料标准细化颗粒级配、有害物质含量等性能分级，且强制要求再生产品需进行全生命周期环境影响评估；针对再生混凝土，欧盟标准明确其强度等级与应用场景的适配关系，确保产品质量与天然建材等效。美国采用联邦政策引导、州级标准细化的模式，联邦层面通过税收优惠政策鼓励再生建材应用，州级标准则结合本地资源禀赋制定差异化要求，如加利福尼亚州出台再生骨料在公路工程中的强制使用标准，并建立再生产品认证体系，通过第三方检测保障产品可信度。日本依托《循环型社会形成推进基本法》，制定的技术标准聚焦建筑垃圾的精细化处理，规范破碎筛分设备的能耗指标与噪音控制要求，同时明确再生产品在市政道路、公园设施等公共项目中的应用场景，且标准与补贴政策挂钩，通过经济激励推动标准落地。整体而言，国外标准更注重环保性能与市场需求的结合，部分标准已将碳排放核算、资源效率评估纳入技术要求，为国内标准的优化提供参考。</w:t>
      </w:r>
    </w:p>
    <w:p w14:paraId="64D27F7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 技术经济论证</w:t>
      </w:r>
    </w:p>
    <w:p w14:paraId="0D3B4F2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为验证建筑垃圾循环再利用技术规范的技术可行性与经济合理性，特开展技术经济论证，为标准落地实施提供支撑。技术层面，规范涵盖的建筑垃圾分类分拣、再生骨料破碎筛分、再生建材生产等全链条技术，均基于现有成熟工艺优化，适配国内主流处理设备与生产线，无需大规模改造即可实现技术衔接。通过标准明确的技术参数管控，可提升再生骨料纯度与再生产品性能稳定性，使再生混凝土、透水砖等产品满足市政工程、低层建筑等场景需求，降低技术应用门槛；同时，规范中污染控制与能耗管控要求，能减少处理过程中的粉尘、噪音污染，降低单位产品能耗，符合绿色生产技术导向，技术落地性与可持续性较强。</w:t>
      </w:r>
    </w:p>
    <w:p w14:paraId="2BE8E6A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经济层面，短期看，企业按标准升级技术可能产生设备调试、人员培训等初期投入，但可通过政策补贴、税收减免等缓解成本压力；长期来看，再生骨料采购成本显著低于天然砂石，按规范生产可提升再生产品产量与市场认可度，扩大销售收益，降低原材料依赖带来的成本波动风险。此外，规范推动建筑垃圾减量化处理，减少填埋场建设与运营费用，降低生态修复成本，同时延伸“建筑垃圾—再生资源—新型建材” 产业链，创造就业岗位，形成经济收益与环境效益的协同。综合而言，规范技术体系成熟可控，经济成本可通过多渠道消化，长期收益显著，具备技术经济可行性。</w:t>
      </w:r>
    </w:p>
    <w:p w14:paraId="1A9C349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 预期的经济效益</w:t>
      </w:r>
    </w:p>
    <w:p w14:paraId="756F0FB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对建筑垃圾处理及再生建材生产企业而言，规范明确的技术路径能降低再生骨料生产的损耗率，减少因技术不达标导致的返工成本；再生骨料替代天然砂石可显著降低原材料采购支出，且标准化生产能提升再生建材市场认可度，助力企业拓展销售渠道、提高产品溢价空间，缓解初期技术升级投入压力。​</w:t>
      </w:r>
    </w:p>
    <w:p w14:paraId="5A3D212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从产业链视角看，规范将推动“建筑垃圾收集—处理—再生产品应用”闭环形成，带动破碎设备制造、再生建材检测等配套产业发展，创造设备运维、生产操作等就业岗位，促进区域产业结构优化。</w:t>
      </w:r>
    </w:p>
    <w:p w14:paraId="6D96D5D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在社会成本层面，规范引导建筑垃圾减量与资源化利用，减少填埋场建设及土地占用成本，降低垃圾清运与生态修复费用，同时减少天然砂石开采带来的资源消耗成本，为地方经济可持续发展提供支撑。​</w:t>
      </w:r>
    </w:p>
    <w:p w14:paraId="4F9829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 社会效益和生态效益</w:t>
      </w:r>
    </w:p>
    <w:p w14:paraId="6299166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显著提升建筑垃圾循环再利用领域的社会效益，为社会发展注入绿色动能。一方面，规范推动“建筑垃圾收集—处理—再生产品应用”产业链完善，除直接带动再生资源企业、建材生产企业的岗位增长外，还将催生破碎设备运维、再生产品检测、技术咨询等配套服务岗位，为社会提供多元化就业机会，尤其助力城乡富余劳动力实现稳定就业。另一方面，规范通过明确再生建材的质量标准与应用场景，推动其在市政道路、社区绿化、保障性住房等公共项目中的规模化应用，既提升公共基础设施建设的绿色属性，又降低项目建设成本，让社会公众共享资源循环利用的成果。同时，规范的宣贯与实施将强化企业与公众的环保意识，引导形成“减少浪费、循环利用”的生产生活方式，助力构建人人参与的绿色社会治理格局。</w:t>
      </w:r>
    </w:p>
    <w:p w14:paraId="028F0A4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对生态环境的保护与改善具有重要推动作用，为生态可持续发展提供关键支撑。首先，规范引导建筑垃圾从 “填埋为主”转向“资源化利用为主”，大幅减少建筑垃圾填埋场的建设数量与占地面积，避免填埋过程中渗滤液对土壤、地下水的污染，降低垃圾腐烂产生的温室气体排放，缓解对周边生态环境的破坏。其次，通过标准化的再生骨料生产技术，提升建筑垃圾的资源化利用率，减少对天然砂石、黏土等不可再生资源的开采需求，保护山体、河道等自然生态系统，维护生态平衡。此外，规范对建筑垃圾处理过程中的粉尘、噪音、废水排放提出明确管控要求，推动处理企业采用低能耗、低污染的生产工艺，降低生产环节对周边空气质量与居民生活环境的影响，助力改善区域生态环境质量，为实现 “双碳” 目标与建设美丽中国提供技术保障。</w:t>
      </w:r>
    </w:p>
    <w:p w14:paraId="10A20A3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七、与国际、国外同类标准技术内容的对比情况。</w:t>
      </w:r>
    </w:p>
    <w:p w14:paraId="7A4EF8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718EB447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无。本文件自主制定。</w:t>
      </w:r>
    </w:p>
    <w:p w14:paraId="73EEA8A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九、标准主要内容</w:t>
      </w:r>
    </w:p>
    <w:p w14:paraId="5DD2CDA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1.范围</w:t>
      </w:r>
    </w:p>
    <w:p w14:paraId="25E21DA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35" w:name="_Toc26718931"/>
      <w:bookmarkStart w:id="36" w:name="_Toc24884212"/>
      <w:bookmarkStart w:id="37" w:name="_Toc26648466"/>
      <w:bookmarkStart w:id="38" w:name="_Toc24884219"/>
      <w:bookmarkStart w:id="39" w:name="_Toc17233334"/>
      <w:bookmarkStart w:id="40" w:name="_Toc17233326"/>
      <w:bookmarkStart w:id="41" w:name="_Toc26986531"/>
      <w:bookmarkStart w:id="42" w:name="_Toc97192965"/>
      <w:bookmarkStart w:id="43" w:name="_Toc26986772"/>
      <w:bookmarkStart w:id="44" w:name="_Toc11915"/>
      <w:bookmarkStart w:id="45" w:name="_Toc113282591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本文件规定了建筑垃圾循环利用的术语和定义、项目建设要求、生产工艺与技术设备、绿色节能与低碳环保要求、安全生产、职业健康防护、再生产品性能要求、及再生产品应用要求。</w:t>
      </w:r>
    </w:p>
    <w:p w14:paraId="2BE1F58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本文件适用于建筑工程、市政工程、拆迁工程产生的建筑垃圾的循环利用处理处置。</w:t>
      </w:r>
    </w:p>
    <w:p w14:paraId="0E3DEEB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本文件不适用于含放射性物质、危险废物的建筑垃圾处理。</w:t>
      </w:r>
    </w:p>
    <w:p w14:paraId="6220ABE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5739D08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GBZ 188  职业健康监护技术规范</w:t>
      </w:r>
    </w:p>
    <w:p w14:paraId="1C4F05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GBZ/T 229.3  工作场所职业病危害作业分级 第 3 部分：高温</w:t>
      </w:r>
    </w:p>
    <w:p w14:paraId="2FDF7B3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2894  安全标志及其使用导则</w:t>
      </w:r>
    </w:p>
    <w:p w14:paraId="4964D9D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4387  工业企业厂内铁路、道路运输安全规程</w:t>
      </w:r>
    </w:p>
    <w:p w14:paraId="6330034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12348  工业企业厂界环境噪声排放标准</w:t>
      </w:r>
    </w:p>
    <w:p w14:paraId="11172A3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13495.1  消防安全标志 第 1 部分：标志</w:t>
      </w:r>
    </w:p>
    <w:p w14:paraId="1B3F191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14902  预拌混凝土</w:t>
      </w:r>
    </w:p>
    <w:p w14:paraId="553567E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15630  消防安全标志设置要求</w:t>
      </w:r>
    </w:p>
    <w:p w14:paraId="3FBF4A1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21144  混凝土实心砖</w:t>
      </w:r>
    </w:p>
    <w:p w14:paraId="7DCB8BE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24492  非承重混凝土空心砖</w:t>
      </w:r>
    </w:p>
    <w:p w14:paraId="3A9A1B3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25176  混凝土和砂浆用再生细骨料</w:t>
      </w:r>
    </w:p>
    <w:p w14:paraId="39FB833B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25177  混凝土用再生粗骨料</w:t>
      </w:r>
    </w:p>
    <w:p w14:paraId="1AEB367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25181  预拌砂浆</w:t>
      </w:r>
    </w:p>
    <w:p w14:paraId="03AF15A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25520  矿物粉磨和超微粉碎设备安全要求</w:t>
      </w:r>
    </w:p>
    <w:p w14:paraId="1B16C73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25993  透水路面砖和透水路面板</w:t>
      </w:r>
    </w:p>
    <w:p w14:paraId="1F3EE42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31962  污水排入城镇下水道水质标准</w:t>
      </w:r>
    </w:p>
    <w:p w14:paraId="3481535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50016  建筑设计防火规范</w:t>
      </w:r>
    </w:p>
    <w:p w14:paraId="12F6916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50054  低压配电设计规范</w:t>
      </w:r>
    </w:p>
    <w:p w14:paraId="0E48314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50060 3-110kV高压配电装置设计规范</w:t>
      </w:r>
    </w:p>
    <w:p w14:paraId="045302B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50140  建筑灭火器配置设计规范</w:t>
      </w:r>
    </w:p>
    <w:p w14:paraId="7FEE9B1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 50164  混凝土质量控制标准</w:t>
      </w:r>
    </w:p>
    <w:p w14:paraId="55CF15F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50869  生活垃圾卫生填埋处理技术标准</w:t>
      </w:r>
    </w:p>
    <w:p w14:paraId="66FC32B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51003  矿物掺合料应用技术规范</w:t>
      </w:r>
    </w:p>
    <w:p w14:paraId="7F83C4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JGJ/T 46  施工现场临时用电安全技术标准</w:t>
      </w:r>
    </w:p>
    <w:p w14:paraId="7AE94BC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CJJ/T 134  建筑垃圾处理技术标准</w:t>
      </w:r>
    </w:p>
    <w:p w14:paraId="2E01C01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JGJ/T 223  预拌砂浆应用技术规程</w:t>
      </w:r>
    </w:p>
    <w:p w14:paraId="0A469C0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JGJ/T 240  再生骨料应用技术规程</w:t>
      </w:r>
    </w:p>
    <w:p w14:paraId="22C41C0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CJJ/T 253  再生骨料透水混凝土应用技术规程</w:t>
      </w:r>
    </w:p>
    <w:p w14:paraId="6DF71C9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CJ/T 340  绿化种植土壤</w:t>
      </w:r>
    </w:p>
    <w:p w14:paraId="7D68E59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CJ/T 400  再生骨料地面砖和透水砖</w:t>
      </w:r>
    </w:p>
    <w:p w14:paraId="5EE29AF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JG/T 573  混凝土和砂浆用再生微粉</w:t>
      </w:r>
    </w:p>
    <w:p w14:paraId="6EC9F94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JC/T 2281  道路用建筑垃圾再生骨料无机混合料</w:t>
      </w:r>
    </w:p>
    <w:p w14:paraId="558A4E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6" w:name="_Toc97192966"/>
      <w:bookmarkStart w:id="47" w:name="_Toc2484"/>
      <w:bookmarkStart w:id="48" w:name="_Toc11328259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3.术语和定义</w:t>
      </w:r>
      <w:bookmarkEnd w:id="46"/>
      <w:bookmarkEnd w:id="47"/>
      <w:bookmarkEnd w:id="48"/>
    </w:p>
    <w:p w14:paraId="24EF2DB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明确了建筑垃圾循环利用的术语定义。</w:t>
      </w:r>
    </w:p>
    <w:p w14:paraId="0DC87EC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9" w:name="_Toc26986532"/>
      <w:bookmarkEnd w:id="49"/>
      <w:bookmarkStart w:id="50" w:name="_Toc714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4.</w:t>
      </w:r>
      <w:bookmarkEnd w:id="50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项目建设要求</w:t>
      </w:r>
    </w:p>
    <w:p w14:paraId="26B1A1B2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包括了建筑垃圾循环再利用的项目建设要求。</w:t>
      </w:r>
    </w:p>
    <w:p w14:paraId="3EEAB28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1" w:name="_Toc459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5.</w:t>
      </w:r>
      <w:bookmarkEnd w:id="51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生产工艺与技术设备</w:t>
      </w:r>
    </w:p>
    <w:p w14:paraId="07831374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包括了建筑垃圾循环再利用的生产工艺与技术设备。</w:t>
      </w:r>
    </w:p>
    <w:p w14:paraId="489A9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2" w:name="_Toc1508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6.</w:t>
      </w:r>
      <w:bookmarkEnd w:id="5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绿色节能与低碳环保要求</w:t>
      </w:r>
    </w:p>
    <w:p w14:paraId="686DBA43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包括了建筑垃圾循环再利用的绿色节能与低碳环保要求。</w:t>
      </w:r>
    </w:p>
    <w:p w14:paraId="7E2E4369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3" w:name="_Toc3221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7.</w:t>
      </w:r>
      <w:bookmarkEnd w:id="5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安全生产</w:t>
      </w:r>
    </w:p>
    <w:p w14:paraId="6935A2F8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包括了建筑垃圾循环再利用的安全生产。</w:t>
      </w:r>
    </w:p>
    <w:p w14:paraId="4DE079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4" w:name="_Toc11466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8.</w:t>
      </w:r>
      <w:bookmarkEnd w:id="5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再生产品性能要求</w:t>
      </w:r>
    </w:p>
    <w:p w14:paraId="6397AAC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包括了建筑垃圾循环再利用的再生产品性能要求。</w:t>
      </w:r>
    </w:p>
    <w:p w14:paraId="7436000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5" w:name="_Toc1309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9.</w:t>
      </w:r>
      <w:bookmarkEnd w:id="5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再生产品应用要求</w:t>
      </w:r>
    </w:p>
    <w:p w14:paraId="58CD2244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包括了建筑垃圾循环再利用的再生产品应用要求。</w:t>
      </w:r>
    </w:p>
    <w:p w14:paraId="2545AB1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、与有关的现行法律、法规和强制性国家标准及相关标准协调配套情况</w:t>
      </w:r>
    </w:p>
    <w:p w14:paraId="3C22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、重大分歧意见的处理经过和依据</w:t>
      </w:r>
    </w:p>
    <w:p w14:paraId="106E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、标准作为强制性或推荐性标准的建议</w:t>
      </w:r>
    </w:p>
    <w:p w14:paraId="24C0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、贯彻标准的要求和措施建议，包括（组织措施、技术措施、过渡办法）</w:t>
      </w:r>
    </w:p>
    <w:p w14:paraId="29A3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、废止现有有关标准的建议</w:t>
      </w:r>
    </w:p>
    <w:p w14:paraId="1C52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58A3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1805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团体标准工作组</w:t>
      </w:r>
    </w:p>
    <w:p w14:paraId="57A29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-SA"/>
        </w:rPr>
        <w:t>202X年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" w:bidi="ar-SA"/>
          <w:woUserID w:val="1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-SA"/>
        </w:rPr>
        <w:t>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MingLiU">
    <w:altName w:val="汉仪中等线KW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Kingsoft Math">
    <w:panose1 w:val="02040503050406030204"/>
    <w:charset w:val="00"/>
    <w:family w:val="auto"/>
    <w:pitch w:val="default"/>
    <w:sig w:usb0="00000081" w:usb1="02000068" w:usb2="02000000" w:usb3="00000000" w:csb0="00000001" w:csb1="0000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8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2B5CCC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BE316F9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autoRedefine/>
    <w:semiHidden/>
    <w:unhideWhenUsed/>
    <w:qFormat/>
    <w:uiPriority w:val="1"/>
  </w:style>
  <w:style w:type="table" w:default="1" w:styleId="4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numPr>
        <w:ilvl w:val="0"/>
        <w:numId w:val="3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numPr>
        <w:ilvl w:val="0"/>
        <w:numId w:val="8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numPr>
        <w:ilvl w:val="1"/>
        <w:numId w:val="3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adjustRightInd/>
      <w:spacing w:line="240" w:lineRule="auto"/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data/weboffice/tmp/webword_329696487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xmlns:b="http://schemas.openxmlformats.org/officeDocument/2006/bibliography" SelectedStyle="\APASixthEditionOfficeOnline.xsl" Version="6"/>
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1264</Words>
  <Characters>1324</Characters>
  <Lines>17</Lines>
  <Paragraphs>4</Paragraphs>
  <TotalTime>74</TotalTime>
  <ScaleCrop>false</ScaleCrop>
  <LinksUpToDate>false</LinksUpToDate>
  <CharactersWithSpaces>1336</CharactersWithSpaces>
  <Application>WPS Office WWO_wpscloud_20251010183206-22817e2cf8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2020-10-14T16:16:00Z</dcterms:created>
  <cp:lastPrinted>2018-07-04T10:56:00Z</cp:lastPrinted>
  <dcterms:modified xsi:type="dcterms:W3CDTF">2025-10-28T11:14:58Z</dcterms:modified>
  <dc:title>标准名称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2052-12.9.0.23240</vt:lpwstr>
  </property>
  <property fmtid="{D5CDD505-2E9C-101B-9397-08002B2CF9AE}" pid="3" name="ICV">
    <vt:lpwstr>10D3010830A2E330323500692AF2C803_43</vt:lpwstr>
  </property>
  <property fmtid="{D5CDD505-2E9C-101B-9397-08002B2CF9AE}" pid="4" name="KSOTemplateDocerSaveRecord">
    <vt:lpwstr>eyJoZGlkIjoiZWNlMDAzNWQyNzVkOThhY2NhZTA1Zjc3OGQ5NmI0YzUiLCJ1c2VySWQiOiIxMjQxODY1MjcxIn0=</vt:lpwstr>
  </property>
</Properties>
</file>