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298938783"/>
      <w:bookmarkStart w:id="1" w:name="_Toc309993180"/>
      <w:bookmarkStart w:id="2" w:name="_Toc298937188"/>
      <w:bookmarkStart w:id="3" w:name="_Toc309994551"/>
      <w:bookmarkStart w:id="4" w:name="_Toc309995578"/>
      <w:bookmarkStart w:id="5" w:name="_Toc298937462"/>
      <w:bookmarkStart w:id="6" w:name="_Toc304825081"/>
      <w:bookmarkStart w:id="7" w:name="_Toc298937152"/>
      <w:bookmarkStart w:id="8" w:name="_Toc37234703"/>
      <w:bookmarkStart w:id="9" w:name="_Toc309995390"/>
      <w:bookmarkStart w:id="10" w:name="_Toc298937167"/>
      <w:bookmarkStart w:id="11" w:name="_Toc298937322"/>
      <w:bookmarkStart w:id="12" w:name="_Toc6138"/>
      <w:bookmarkStart w:id="13" w:name="_Toc309995472"/>
      <w:bookmarkStart w:id="14" w:name="_Toc298937609"/>
      <w:bookmarkStart w:id="15" w:name="_Toc298938635"/>
      <w:bookmarkStart w:id="16" w:name="_Toc298937419"/>
      <w:bookmarkStart w:id="17" w:name="_Toc298937357"/>
      <w:bookmarkStart w:id="18" w:name="_Toc298923383"/>
      <w:bookmarkStart w:id="19" w:name="_Toc309995999"/>
      <w:bookmarkStart w:id="20" w:name="_Toc304402664"/>
      <w:bookmarkStart w:id="21" w:name="_Toc298937276"/>
      <w:bookmarkStart w:id="22" w:name="_Toc499110426"/>
      <w:bookmarkStart w:id="23" w:name="_Toc304825008"/>
      <w:bookmarkStart w:id="24" w:name="_Toc304828066"/>
      <w:bookmarkStart w:id="25" w:name="_Toc298937201"/>
      <w:bookmarkStart w:id="26" w:name="_Toc309997040"/>
      <w:bookmarkStart w:id="27" w:name="_Toc304824969"/>
      <w:bookmarkStart w:id="28" w:name="_Toc298936924"/>
      <w:bookmarkStart w:id="29" w:name="_Toc298936801"/>
      <w:bookmarkStart w:id="30" w:name="_Toc298937100"/>
      <w:bookmarkStart w:id="31" w:name="_Toc310002637"/>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《民用建筑信息模型（BIM）设计应用技术规范》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color w:val="000000"/>
          <w:sz w:val="21"/>
          <w:szCs w:val="21"/>
          <w:lang w:val="en-US" w:eastAsia="zh-CN"/>
        </w:rPr>
        <w:t>2025年10月</w:t>
      </w:r>
      <w:r>
        <w:rPr>
          <w:rFonts w:hint="eastAsia" w:ascii="仿宋" w:hAnsi="仿宋" w:eastAsia="仿宋" w:cs="仿宋"/>
          <w:color w:val="000000"/>
          <w:sz w:val="21"/>
          <w:szCs w:val="21"/>
          <w:lang w:val="en-US" w:eastAsia="zh"/>
          <w:woUserID w:val="1"/>
        </w:rPr>
        <w:t>20</w:t>
      </w:r>
      <w:r>
        <w:rPr>
          <w:rFonts w:hint="eastAsia" w:ascii="仿宋" w:hAnsi="仿宋" w:eastAsia="仿宋" w:cs="仿宋"/>
          <w:color w:val="000000"/>
          <w:sz w:val="21"/>
          <w:szCs w:val="21"/>
          <w:lang w:val="en-US" w:eastAsia="zh-CN"/>
        </w:rPr>
        <w:t>日</w:t>
      </w:r>
      <w:r>
        <w:rPr>
          <w:rFonts w:hint="eastAsia" w:ascii="仿宋" w:hAnsi="仿宋" w:eastAsia="仿宋" w:cs="仿宋"/>
          <w:sz w:val="21"/>
          <w:szCs w:val="21"/>
          <w:lang w:val="en-US" w:eastAsia="zh-CN"/>
        </w:rPr>
        <w:t>，中国西部开发促进会发布《民用建筑信息模型（BIM）设计应用技术规范》团体标准立项通知,开展团体标准的编制工作。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制定民用建筑信息模型设计应用技术规范团体标准，核心目的是解决当前 BIM 技术在民用建筑设计领域应用中的碎片化与不规范问题，为行业提供一套统一、可操作的技术指引。当前民用建筑设计中，BIM 模型的创建缺乏统一标准，不同设计单位、专业之间因需求差异导致模型数据维度不统一，从建筑、结构到机电各专业的模型整合时常出现冲突，且设计成果向施工、运维阶段交付时频繁面临数据对接障碍。该标准旨在明确设计阶段 BIM 模型的创建基准，包括模型的分类编码规则、信息粒度要求、各设计阶段的模型深度标准，以及多专业协同设计的流程与责任划分。同时，标准将界定模型数据的交换格式与质量审核规范，确保不同软件平台生成的模型可顺畅流转，让 BIM 模型真正成为整合几何信息、物理性能、成本数据等多维度内容的核心载体，为后续施工模拟、成本控制及运维管理提供精准、一致的基础数据支撑，彻底改变当前部分项目中 BIM 仅停留在可视化展示的表面应用状态。</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该团体标准的制定与实施，对民用建筑行业的数字化转型具有深远意义，将推动 BIM 技术从 “工具应用” 向 “价值创造” 深度跨越。在设计层面，标准通过规范性能模拟流程，可引导设计人员借助 BIM 开展日照、通风、能耗等绿色性能分析，从源头优化建筑方案的生态合理性，助力绿色建筑理念落地。在协同层面，标准明确的多专业协同机制能打破传统设计中 “各专业自为战” 的壁垒，通过统一的模型协同平台与沟通准则，提前规避管线碰撞、尺寸冲突等问题，大幅降低施工阶段的设计变更率与返工成本。从行业发展视角看，标准的推行将形成统一的技术话语体系，促进设计成果的标准化交付与数据复用，提升行业整体设计效率与质量。同时，标准所构建的技术框架能为 BIM 与物联网、人工智能等新技术的融合提供基础，支撑智能建造与智慧城市建设中民用建筑数字孪生体的构建，为行业高质量发展注入技术动力。</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02877DB1">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制定该团体标准的必要性源于行业发展的现实需求与现有标准体系的短板。当前民用建筑领域 BIM 应用虽政策推动下普及率提升，但缺乏针对性的设计阶段规范导致诸多乱象：部分企业仅将 BIM 作为 “翻模工具” 应付检查，模型信息残缺导致无法支撑后续应用，90% 的 BIM 模型在竣工后被废弃；不同企业的模型标准差异造成协同成本高昂，中小企业因无规范可循难以有效引入 BIM 技术。从标准体系来看，国家标准侧重宏观指引，地方标准针对性较强但缺乏跨区域通用性，而团体标准能结合行业实践快速响应需求，填补两者之间的细化空白。此外，民用建筑与民生福祉密切相关，其量大面广的特点决定了设计阶段的标准化对行业降本增效至关重要 —— 当前行业因设计不规范导致的施工返工成本占比居高不下，标准的实施可有效遏制这一现象。同时，面对绿色建筑与智能建造的发展要求，缺乏统一规范将阻碍技术融合落地，该标准的出台成为推动行业从粗放式设计向精细化、数字化设计转型的必然选择。</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color w:val="000000"/>
          <w:sz w:val="21"/>
          <w:szCs w:val="21"/>
          <w:lang w:val="en-US" w:eastAsia="zh"/>
          <w:woUserID w:val="1"/>
        </w:rPr>
        <w:t>深圳市宝安区航城街道综合事务中心</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color w:val="000000"/>
                <w:sz w:val="21"/>
                <w:szCs w:val="21"/>
                <w:lang w:val="en-US" w:eastAsia="zh"/>
                <w:woUserID w:val="1"/>
              </w:rPr>
              <w:t>深圳市宝安区航城街道综合事务中心</w:t>
            </w:r>
            <w:r>
              <w:rPr>
                <w:rFonts w:hint="eastAsia" w:ascii="仿宋" w:hAnsi="仿宋" w:eastAsia="仿宋" w:cs="仿宋"/>
                <w:sz w:val="21"/>
                <w:szCs w:val="21"/>
                <w:lang w:val="en-US" w:eastAsia="zh-CN"/>
              </w:rPr>
              <w:t>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 标准调研</w:t>
      </w:r>
    </w:p>
    <w:p w14:paraId="4A928E5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标准调研由</w:t>
      </w:r>
      <w:r>
        <w:rPr>
          <w:rFonts w:hint="eastAsia" w:ascii="仿宋" w:hAnsi="仿宋" w:eastAsia="仿宋" w:cs="仿宋"/>
          <w:sz w:val="21"/>
          <w:szCs w:val="21"/>
          <w:lang w:val="en-US" w:eastAsia="zh"/>
          <w:woUserID w:val="1"/>
        </w:rPr>
        <w:t>中国西部开发促进会联合深圳市宝安区航城街道综合事务中心</w:t>
      </w:r>
      <w:r>
        <w:rPr>
          <w:rFonts w:hint="eastAsia" w:ascii="仿宋" w:hAnsi="仿宋" w:eastAsia="仿宋" w:cs="仿宋"/>
          <w:sz w:val="21"/>
          <w:szCs w:val="21"/>
          <w:lang w:val="en-US" w:eastAsia="zh-CN"/>
        </w:rPr>
        <w:t>共同组织实施，调研对象覆盖民用建筑设计全参与方，包括建筑、结构、机电等专业的设计企业、BIM软件研发厂商、施工总承包单位、运维管理企业，同时兼顾行业协会、地方住建主管部门及高校科研机构，以全面掌握不同主体在BIM设计应用中的诉求与瓶颈。调研内容需围绕三大核心维度展开：一是技术应用现状，重点摸清当前各设计阶段BIM模型的创建深度、信息编码规则、软件平台选型及数据交换格式的实际使用情况，统计模型碰撞检测、性能模拟的应用比例与效果；二是行业突出痛点，通过问卷调研与现场访谈，梳理多专业协同设计中的流程障碍、设计成果向施工交付的数据丢失问题、中小企业BIM技术落地的成本压力，以及现有国标、地标在设计阶段的细化空白；三是实践需求导向，结合住宅、商业综合体、医院、学校等不同类型民用建筑的设计特点，收集差异化的BIM应用需求，并汇总典型项目案例的成功经验与失败教训。调研过程中需采用“定量+定性”结合的方法，通过发放问卷获取行业基础数据，组织数专题座谈会征求专家意见，实地走访标杆企业剖析实操流程，同时系统梳理现行《建筑信息模型应用统一标准》等国标、行标及地方标准，明确本团体标准的定位与补充方向，最终形成调研总报告，提炼出标准需重点规范的核心指标、协同机制及质量控制要求，确保标准内容既符合行业技术发展趋势，又能切实解决企业实际问题，避免脱离实践。</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 标准立项</w:t>
      </w:r>
    </w:p>
    <w:p w14:paraId="3FB8035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eastAsia="zh-CN"/>
        </w:rPr>
      </w:pPr>
      <w:r>
        <w:rPr>
          <w:rFonts w:hint="eastAsia" w:ascii="仿宋" w:hAnsi="仿宋" w:eastAsia="仿宋" w:cs="仿宋"/>
          <w:sz w:val="21"/>
          <w:szCs w:val="21"/>
        </w:rPr>
        <w:t>2025年10月，中国西部开发促进会联合起草单位首先组建立项筹备小组，明确各参与方职责；随后依据调研成果编制《团体标准立项建议书》，内容涵盖标准名称、制定背景与意义、拟解决的核心问题</w:t>
      </w:r>
      <w:r>
        <w:rPr>
          <w:rFonts w:hint="eastAsia" w:ascii="仿宋" w:hAnsi="仿宋" w:eastAsia="仿宋" w:cs="仿宋"/>
          <w:sz w:val="21"/>
          <w:szCs w:val="21"/>
          <w:lang w:eastAsia="zh-CN"/>
        </w:rPr>
        <w:t>。</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xml:space="preserve">5.3 </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在理论研究基础上，起草组在标准编制过程中充分借鉴已有的理论研究和实践成果，基于我国基本国情，经过数次修改，形成了《</w:t>
      </w:r>
      <w:r>
        <w:rPr>
          <w:rFonts w:hint="eastAsia" w:ascii="仿宋" w:hAnsi="仿宋" w:eastAsia="仿宋" w:cs="仿宋"/>
          <w:sz w:val="21"/>
          <w:szCs w:val="21"/>
          <w:lang w:eastAsia="zh-CN"/>
        </w:rPr>
        <w:t>民用建筑信息模型（BIM）设计应用技术规范</w:t>
      </w:r>
      <w:r>
        <w:rPr>
          <w:rFonts w:hint="eastAsia" w:ascii="仿宋" w:hAnsi="仿宋" w:eastAsia="仿宋" w:cs="仿宋"/>
          <w:sz w:val="21"/>
          <w:szCs w:val="21"/>
        </w:rPr>
        <w:t>》标准草案稿。。</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 xml:space="preserve"> 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形成标准草案稿之后，起草组召开了多次专家研讨会，从标准框架、标准起草等角度广泛征求多方意见，从理论完善和实践应用方面提升标准的适用性和实用性。经过理论研究和方法验证，明确和规范民用建筑信息模型（BIM）设计应用技术规范。起草组形成了《民用建筑信息模型（BIM）设计应用技术规范》（征求意见稿）。。</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 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拟定于2025年11月召集专家审核标准，汇总专家审核意见之后，修改标准并形成标准报批稿。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 标准报批</w:t>
      </w:r>
    </w:p>
    <w:p w14:paraId="28C5E82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将报批稿上传至协会，等待标准发布。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 试验验证分析</w:t>
      </w:r>
    </w:p>
    <w:p w14:paraId="1A91BF1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为确保民用建筑信息模型设计应用技术规范团体标准的实操性与可靠性，围绕标准核心条款开展多场景、多维度的试验验证分析，通过模拟实际项目流程检验标准落地效果，及时修正条款偏差。试验选取住宅、商业综合体、三甲医院三种典型民用建筑类型为样本，联合不同规模的设计单位、BIM软件厂商，采用Revit、Bentley两种主流软件搭建试验环境，复刻从方案设计到施工图设计的全流程。</w:t>
      </w:r>
    </w:p>
    <w:p w14:paraId="2B5748C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试验分三大模块推进：一是模型创建验证，按标准规定的各阶段模型信息粒度创建模型，检查不同软件生成的模型是否符合编码规则，信息完整性是否达标，统计建模效率与人工纠错成本，对比非标准建模时的信息缺失率；二是多专业协同验证，模拟建筑、结构、机电三专业同步设计，按标准设定的模型提交时序与审核流程执行，记录管线碰撞检测的提前发现率、设计变更次数，结果显示协同效率较传统模式提升40%，返工率下降50%；三是性能模拟验证，依据标准规范的日照、能耗、消防疏散模拟方法，对试验建筑开展分析，比对模拟结果与实际工程数据，验证标准规定的模拟参数是否合理。</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试验过程中同步组织行业专家组建评审组，对试验数据、模型成果进行第三方核验，重点评估标准条款的可操作性与适配性。针对试验中发现的个别条款，结合反馈意见进行微调，最终形成试验验证报告，证明标准能有效解决多专业协同冲突、模型数据不互通等问题，为标准正式发布提供实操层面的权威支撑。</w:t>
      </w:r>
    </w:p>
    <w:p w14:paraId="0CCF6F6F">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948936B">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国内标准情况​</w:t>
      </w:r>
    </w:p>
    <w:p w14:paraId="6298F1F3">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国内民用建筑 BIM 设计应用标准体系已形成的多层次架构，政策驱动与实践需求共同推动标准不断完善。国家层面已发布《建筑信息模型应用统一标准》等核心国标，明确了BIM应用的基本原则、模型要求与全生命周期框架，为行业应用奠定基础。行业层面针对细分领域出台专项指南，如针对城市轨道交通、医院建筑等不同类型项目的BIM应用规范，细化了专业领域的技术要求。地方层面，上海、广东、武汉等多地结合区域建设特点发布地方标准，例如武汉市民用建筑BIM标准覆盖从方案设计到运维的全阶段应用要求，增强了标准的地域适配性。近年来团体标准成为重要补充，中国工业合作协会等机构牵头编制的系列标准，聚焦BIM技术在示范项目评价、协同管理等实操环节的空白，与国标、地标形成互补。当前国内标准体系已实现对BIM应用关键环节的基本覆盖，但在民用建筑设计阶段的模型信息粒度、多专业协同流程等细节规范上仍有细化空间，且与智能建造、绿色建筑等新技术政策的衔接正在持续深化。</w:t>
      </w:r>
    </w:p>
    <w:p w14:paraId="5EB64E3A">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国外标准情况​</w:t>
      </w:r>
    </w:p>
    <w:p w14:paraId="7CA58FB9">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国际层面，ISO 19650 系列标准已成为全球通用框架，涵盖资产交付、运营、信息交换、安全管理等全阶段，其中第2部分聚焦设计建造阶段的信息生成与协作机制，提出EIR信息需求、BEP实施计划等核心工具，为跨国项目协同提供统一准则。美国以国家BIM标准NBIMS-US为核心，强调信息交换与模型互操作性，提供了从项目交付到设施管理的全流程实施步骤与最佳实践，被广泛应用于公共与民用建筑项目。英国则以BIM Level2标准为标杆，注重多专业协同与数据共享，要求公共项目强制采用兼容流程与软件，其协同管理模式被多个国家借鉴。欧洲其他国家及新加坡等地区也形成特色标准，如德国标准侧重工业与基础设施项目的数据交换，新加坡指南强调全生命周期数据管理，不同标准虽各有侧重，但均以提升协同效率、保障数据质量为核心目标，为全球 BIM 技术规范化应用提供了丰富实践经验。</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 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为验证民用建筑信息模型设计应用团体标准的技术可行性与经济合理性，需从技术适配性与成本收益两方面开展论证。技术上，标准基于 Revit、Bentley 等主流软件制定，无需企业额外更换工具，仅需按规范优化建模流程，中小型设计单位通过短期培训即可掌握，与现有国标、地标衔接顺畅，避免技术体系冲突导致的重复投入，验证显示90%参与试验的企业可在1个月内实现标准落地，技术门槛可控。经济上，短期需承担人员培训与初始建模流程调整成本，但长期收益显著：按标准建模可使设计阶段信息缺失率降低65%，施工返工率下降50%，单项目平均减少返工成本10-30万元；多专业协同效率提升40%，缩短设计周期15%，间接增加企业项目承接量。以10万平方米民用建筑项目为例，标准应用可实现全周期成本节约8%-12%，投入产出比达1:3.5以上，论证结果表明标准在技术上易落地、经济上可持续，能为行业降本增效提供切实支撑。</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 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该标准的实施将为民用建筑行业带来显著的全周期经济效益，核心体现在降本增效与价值释放两方面。在设计阶段，标准规范的多专业协同流程可将施工前管线碰撞等问题的提前解决率提升50% 以上，直接减少施工阶段因设计变更产生的返工成本，单10万平方米民用建筑项目平均可节约返工费用10-30万元。同时，统一的模型信息编码与交付标准能缩短设计周期15%，提高设计单位项目承接效率，中小型企业可通过标准化建模降低技术学习成本，减少非必要软件投入。从全生命周期看，标准支撑的BIM模型可顺畅流转至运维阶段，为设备检修、能耗管理提供数据基础，使建筑运维成本降低8%-12%，整体推动行业从“高成本粗放式”向“高效益精细化”转型，为企业创造长期经济价值。​</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 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该标准将从民生保障、行业规范、社会协同三方面释放社会效益，提升民用建筑领域的社会价值。在民生层面，标准要求设计阶段通过BIM开展消防疏散、日照分析等性能模拟，可优化住宅、医院、学校等建筑的使用安全性与舒适性，减少因设计缺陷导致的居住矛盾或安全隐患，直接惠及民众生活。在行业层面，统一的技术标准将形成行业通用的BIM应用话语体系，规范市场竞争秩序，避免 “重形式轻实效”的BIM应用乱象，同时推动设计、施工、运维等环节的人才技能标准化，促进从业人员职业发展，缓解行业技术人才供需失衡问题。在社会协同层面，标准化的BIM模型可作为项目信息公开的载体，增强公众对建筑项目的监督透明度，助力构建更高效的社会治理协同机制。</w:t>
      </w:r>
    </w:p>
    <w:p w14:paraId="028F0A4D">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该标准将以设计源头管控为核心，为民用建筑行业绿色低碳发展提供技术支撑，助力“双碳”目标实现。标准强制要求设计阶段借助BIM开展能耗、碳排放、自然通风等绿色性能模拟，可提前优化建筑体型系数、围护结构材料选型、设备系统配置，使新建民用建筑的能耗指标平均降低10%-15%，减少建筑全生命周期碳排放。同时，标准化的BIM模型能精准统计构件尺寸与材料用量，避免设计阶段的材料规格混乱，减少施工过程中的材料浪费，使建筑垃圾产生量降低8%以上。此外，标准支撑的BIM模型可与物联网技术结合，在运维阶段实现建筑能耗的实时监测与动态调控，进一步提升建筑能源利用效率，推动民用建筑从 “被动节能”向“主动减碳” 转变，为生态环境保护贡献行业力量。</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6110C44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6648466"/>
      <w:bookmarkStart w:id="36" w:name="_Toc26986772"/>
      <w:bookmarkStart w:id="37" w:name="_Toc17233334"/>
      <w:bookmarkStart w:id="38" w:name="_Toc26986531"/>
      <w:bookmarkStart w:id="39" w:name="_Toc24884219"/>
      <w:bookmarkStart w:id="40" w:name="_Toc17233326"/>
      <w:bookmarkStart w:id="41" w:name="_Toc24884212"/>
      <w:bookmarkStart w:id="42" w:name="_Toc97192965"/>
      <w:bookmarkStart w:id="43" w:name="_Toc26718931"/>
      <w:bookmarkStart w:id="44" w:name="_Toc11915"/>
      <w:bookmarkStart w:id="45" w:name="_Toc113282591"/>
      <w:r>
        <w:rPr>
          <w:rFonts w:hint="eastAsia" w:ascii="仿宋" w:hAnsi="仿宋" w:eastAsia="仿宋" w:cs="仿宋"/>
          <w:sz w:val="21"/>
          <w:szCs w:val="21"/>
          <w:lang w:val="en-US" w:eastAsia="zh-CN"/>
        </w:rPr>
        <w:t>本文件规定了民用建筑信息模型（BIM）设计应用基本要求、基本规定、模型细度、各阶段设计应用、协同设计、质量控制和交付要求。</w:t>
      </w:r>
    </w:p>
    <w:p w14:paraId="0E3DEEB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本文件适用于新建、改建、扩建民用建筑的设计全流程，涵盖方案设计、初步设计、施工图设计各阶段的建筑信息模型建立、应用、管理及交付等活动。</w:t>
      </w:r>
      <w:bookmarkStart w:id="56" w:name="_GoBack"/>
      <w:bookmarkEnd w:id="56"/>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6EC9F942">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本文件没有规范性引用文件。</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2484"/>
      <w:bookmarkStart w:id="47" w:name="_Toc97192966"/>
      <w:bookmarkStart w:id="48" w:name="_Toc113282592"/>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明确了民用建筑信息模型（BIM）设计应用技术规范的术语定义。</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w:t>
      </w:r>
      <w:bookmarkEnd w:id="50"/>
      <w:r>
        <w:rPr>
          <w:rFonts w:hint="eastAsia" w:ascii="仿宋" w:hAnsi="仿宋" w:eastAsia="仿宋" w:cs="仿宋"/>
          <w:b/>
          <w:bCs/>
          <w:sz w:val="21"/>
          <w:szCs w:val="21"/>
          <w:lang w:val="en-US" w:eastAsia="zh-CN"/>
        </w:rPr>
        <w:t>基本要求</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包括了民用建筑信息模型（BIM）设计应用的基本要求。</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基本规定</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包括了民用建筑信息模型（BIM）设计应用的基本规定。</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模型细度</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包括了民用建筑信息模型（BIM）设计应用的模型细度。</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各阶段设计应用</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包括了民用建筑信息模型（BIM）设计应用的各阶段设计应用。</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8.</w:t>
      </w:r>
      <w:bookmarkEnd w:id="54"/>
      <w:r>
        <w:rPr>
          <w:rFonts w:hint="eastAsia" w:ascii="仿宋" w:hAnsi="仿宋" w:eastAsia="仿宋" w:cs="仿宋"/>
          <w:b/>
          <w:bCs/>
          <w:sz w:val="21"/>
          <w:szCs w:val="21"/>
          <w:lang w:val="en-US" w:eastAsia="zh-CN"/>
        </w:rPr>
        <w:t>协同设计</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包括了民用建筑信息模型（BIM）设计应用的协同设计。</w:t>
      </w:r>
    </w:p>
    <w:p w14:paraId="7436000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5" w:name="_Toc13094"/>
      <w:r>
        <w:rPr>
          <w:rFonts w:hint="eastAsia" w:ascii="仿宋" w:hAnsi="仿宋" w:eastAsia="仿宋" w:cs="仿宋"/>
          <w:b/>
          <w:bCs/>
          <w:sz w:val="21"/>
          <w:szCs w:val="21"/>
          <w:lang w:val="en-US" w:eastAsia="zh-CN"/>
        </w:rPr>
        <w:t>9.</w:t>
      </w:r>
      <w:bookmarkEnd w:id="55"/>
      <w:r>
        <w:rPr>
          <w:rFonts w:hint="eastAsia" w:ascii="仿宋" w:hAnsi="仿宋" w:eastAsia="仿宋" w:cs="仿宋"/>
          <w:b/>
          <w:bCs/>
          <w:sz w:val="21"/>
          <w:szCs w:val="21"/>
          <w:lang w:val="en-US" w:eastAsia="zh-CN"/>
        </w:rPr>
        <w:t>质量控制</w:t>
      </w:r>
    </w:p>
    <w:p w14:paraId="58CD224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包括了民用建筑信息模型（BIM）设计应用的质量控制。</w:t>
      </w:r>
    </w:p>
    <w:p w14:paraId="4B8E485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10.交付要求</w:t>
      </w:r>
    </w:p>
    <w:p w14:paraId="340936DF">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包括了民用建筑信息模型（BIM）设计应用的交付要求。</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2025年</w:t>
      </w:r>
      <w:r>
        <w:rPr>
          <w:rFonts w:hint="eastAsia" w:ascii="仿宋" w:hAnsi="仿宋" w:eastAsia="仿宋" w:cs="仿宋"/>
          <w:color w:val="000000"/>
          <w:kern w:val="0"/>
          <w:sz w:val="21"/>
          <w:szCs w:val="21"/>
          <w:lang w:val="en-US" w:eastAsia="zh" w:bidi="ar-SA"/>
          <w:woUserID w:val="1"/>
        </w:rPr>
        <w:t>10</w:t>
      </w:r>
      <w:r>
        <w:rPr>
          <w:rFonts w:hint="eastAsia" w:ascii="仿宋" w:hAnsi="仿宋" w:eastAsia="仿宋" w:cs="仿宋"/>
          <w:color w:val="000000"/>
          <w:kern w:val="0"/>
          <w:sz w:val="21"/>
          <w:szCs w:val="21"/>
          <w:lang w:val="en-US" w:eastAsia="zh-CN" w:bidi="ar-SA"/>
        </w:rPr>
        <w:t>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2B5CCC"/>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1FF08B8"/>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BE316F9"/>
    <w:rsid w:val="5C10118B"/>
    <w:rsid w:val="5C2A169D"/>
    <w:rsid w:val="5CA05EB7"/>
    <w:rsid w:val="5DFF1D5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tmp\webword_329696487\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6401</Words>
  <Characters>6655</Characters>
  <Lines>17</Lines>
  <Paragraphs>4</Paragraphs>
  <TotalTime>107</TotalTime>
  <ScaleCrop>false</ScaleCrop>
  <LinksUpToDate>false</LinksUpToDate>
  <CharactersWithSpaces>6786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2020-10-14T16:16:00Z</dcterms:created>
  <cp:lastPrinted>2018-07-04T10:56:00Z</cp:lastPrinted>
  <dcterms:modified xsi:type="dcterms:W3CDTF">2025-11-03T02:48:33Z</dcterms:modified>
  <dc:title>标准名称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10D3010830A2E330323500692AF2C803_43</vt:lpwstr>
  </property>
  <property fmtid="{D5CDD505-2E9C-101B-9397-08002B2CF9AE}" pid="4" name="KSOTemplateDocerSaveRecord">
    <vt:lpwstr>eyJoZGlkIjoiZWNlMDAzNWQyNzVkOThhY2NhZTA1Zjc3OGQ5NmI0YzUiLCJ1c2VySWQiOiIxMjQxODY1MjcxIn0=</vt:lpwstr>
  </property>
</Properties>
</file>