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0889FCBD"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347C7D" w:rsidRPr="00347C7D">
        <w:rPr>
          <w:rFonts w:ascii="仿宋" w:eastAsia="仿宋" w:hAnsi="仿宋" w:cs="仿宋" w:hint="eastAsia"/>
          <w:b/>
          <w:bCs/>
          <w:sz w:val="32"/>
          <w:szCs w:val="32"/>
        </w:rPr>
        <w:t>电气设备振动故障预警建模与诊断技术准则</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2933CDFA"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347C7D" w:rsidRPr="00347C7D">
        <w:rPr>
          <w:rFonts w:ascii="仿宋" w:eastAsia="仿宋" w:hAnsi="仿宋" w:cs="仿宋" w:hint="eastAsia"/>
          <w:szCs w:val="21"/>
        </w:rPr>
        <w:t>电气设备振动故障预警建模与诊断技术准则</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0AE0FC3E" w:rsidR="00AC4878" w:rsidRDefault="000F0992">
      <w:pPr>
        <w:pStyle w:val="affc"/>
        <w:widowControl/>
        <w:spacing w:beforeAutospacing="0" w:afterAutospacing="0"/>
        <w:ind w:firstLineChars="200" w:firstLine="420"/>
        <w:jc w:val="both"/>
        <w:rPr>
          <w:rFonts w:ascii="仿宋" w:eastAsia="仿宋" w:hAnsi="仿宋" w:cs="仿宋" w:hint="eastAsia"/>
          <w:sz w:val="21"/>
          <w:szCs w:val="21"/>
        </w:rPr>
      </w:pPr>
      <w:r w:rsidRPr="000F0992">
        <w:rPr>
          <w:rFonts w:ascii="仿宋" w:eastAsia="仿宋" w:hAnsi="仿宋" w:cs="仿宋" w:hint="eastAsia"/>
          <w:sz w:val="21"/>
          <w:szCs w:val="21"/>
        </w:rPr>
        <w:t>本标准编写的核心目的是统一电气设备振动故障预警建模与诊断的技术要求、试验方法及检验规则，明确数据采集、特征提取、模型构建、故障识别等关键环节的操作规范，为设备运维单位、技术研发机构、生产企业提供可直接应用的技术依据，确保振动故障预警与诊断工作的科学性、准确性和一致性，进而实现对电气设备振动故障的早期预警、精准诊断和有效管控</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59E83FAA" w:rsidR="00AC4878" w:rsidRDefault="000F0992">
      <w:pPr>
        <w:pStyle w:val="affc"/>
        <w:widowControl/>
        <w:spacing w:beforeAutospacing="0" w:afterAutospacing="0"/>
        <w:ind w:firstLineChars="200" w:firstLine="420"/>
        <w:jc w:val="both"/>
        <w:rPr>
          <w:rFonts w:ascii="仿宋" w:eastAsia="仿宋" w:hAnsi="仿宋" w:cs="仿宋" w:hint="eastAsia"/>
          <w:sz w:val="21"/>
          <w:szCs w:val="21"/>
        </w:rPr>
      </w:pPr>
      <w:r w:rsidRPr="000F0992">
        <w:rPr>
          <w:rFonts w:ascii="仿宋" w:eastAsia="仿宋" w:hAnsi="仿宋" w:cs="仿宋" w:hint="eastAsia"/>
          <w:sz w:val="21"/>
          <w:szCs w:val="21"/>
        </w:rPr>
        <w:t>本标准的制定与实施，有助于填补电气设备振动故障预警建模与诊断领域的技术标准空白，规范行业技术应用乱象，提升行业整体技术水平；通过标准化的预警与诊断流程，可大幅缩短故障识别时间、降低误判漏判风险，为设备运维提供精准指导，减少非计划停机损失；同时能推动振动监测与智能诊断技术的规范化推广，促进产学研用协同创新，为电力、工业制造等领域的安全生产和高效运行提供技术支撑</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34E22B78" w:rsidR="00366ACC" w:rsidRDefault="000F0992" w:rsidP="00366ACC">
      <w:pPr>
        <w:pStyle w:val="affc"/>
        <w:widowControl/>
        <w:spacing w:beforeAutospacing="0" w:afterAutospacing="0"/>
        <w:ind w:firstLineChars="200" w:firstLine="420"/>
        <w:jc w:val="both"/>
        <w:rPr>
          <w:rFonts w:ascii="仿宋" w:eastAsia="仿宋" w:hAnsi="仿宋" w:cs="仿宋" w:hint="eastAsia"/>
          <w:sz w:val="21"/>
          <w:szCs w:val="21"/>
        </w:rPr>
      </w:pPr>
      <w:r w:rsidRPr="000F0992">
        <w:rPr>
          <w:rFonts w:ascii="仿宋" w:eastAsia="仿宋" w:hAnsi="仿宋" w:cs="仿宋" w:hint="eastAsia"/>
          <w:sz w:val="21"/>
          <w:szCs w:val="21"/>
        </w:rPr>
        <w:t>当前电气设备振动故障预警与诊断领域缺乏统一的技术规范，不同单位采用的监测设备、数据采集参数、特征提取方法、预警模型及诊断标准差异较大，导致数据不可比、诊断结果可信度低，严重影响运维决策的有效性；随着电气设备向大型化、智能化、高参数化发展，振动故障引发的安全风险和经济损失日益突出，亟需通过标准明确技术要求，解决行业痛点；此外，现有相关标准多聚焦单一设备或通用振动测量，未覆盖 “预警建模 - 故障诊断” 全流程，无法满足复杂场景下的精准管控需求，因此制定本标准具有极强的现实必要性</w:t>
      </w:r>
      <w:r w:rsidR="00366ACC" w:rsidRPr="00366ACC">
        <w:rPr>
          <w:rFonts w:ascii="仿宋" w:eastAsia="仿宋" w:hAnsi="仿宋" w:cs="仿宋" w:hint="eastAsia"/>
          <w:sz w:val="21"/>
          <w:szCs w:val="21"/>
        </w:rPr>
        <w:t>。</w:t>
      </w:r>
      <w:bookmarkStart w:id="34" w:name="BT3"/>
      <w:bookmarkEnd w:id="34"/>
    </w:p>
    <w:p w14:paraId="3FE7694B" w14:textId="2D6631D9"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0F0992" w:rsidRPr="000F0992">
        <w:rPr>
          <w:rFonts w:ascii="仿宋" w:eastAsia="仿宋" w:hAnsi="仿宋" w:cs="仿宋" w:hint="eastAsia"/>
          <w:sz w:val="21"/>
          <w:szCs w:val="21"/>
        </w:rPr>
        <w:t>电气设备作为工业生产和电力系统的核心装备，其运行状态直接关系到生产安全与能源供应稳定性，振动异常是反映设备故障的重要表征，振动故障预警建模与诊断已成为设备状态监测的关键技术手段。近年来，随着传感器技术、数据处理技术及人工智能算法的快速发展，振动故障诊断已从传统的阈值判断、频谱分析向智能模型驱动的精准诊断演进，但行业内技术应用缺乏统一规范，导致诊断效果参差不齐。本标准立足行业实际需求，整合现有成熟技术成果，涵盖旋转电机、变压器、高压开关设备等典型电气设备，明确了从基础要求到预警建模、故障诊断、试验检验的全流程技术规范，又结合智能诊断技术发展趋势补充了模型构建、特征提取等关键内容，可为行业提供统一、规范、可操作的技术依据，对保障电气设备安全可靠运行、提升运维效率、降低运维成本具有重要意义</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三、起草单位和主要工作成员及其所作工作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53CA298F"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8A1E16" w:rsidRPr="008A1E16">
        <w:rPr>
          <w:rFonts w:ascii="仿宋" w:eastAsia="仿宋" w:hAnsi="仿宋" w:cs="仿宋" w:hint="eastAsia"/>
          <w:szCs w:val="21"/>
        </w:rPr>
        <w:t>中国石油集团长城钻探工程有限公司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lastRenderedPageBreak/>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3A75AB57" w:rsidR="00AC4878" w:rsidRDefault="008A1E16">
            <w:pPr>
              <w:pStyle w:val="affb"/>
              <w:ind w:firstLineChars="0" w:firstLine="0"/>
              <w:rPr>
                <w:rFonts w:ascii="仿宋" w:eastAsia="仿宋" w:hAnsi="仿宋" w:cs="仿宋" w:hint="eastAsia"/>
                <w:szCs w:val="21"/>
                <w:highlight w:val="yellow"/>
              </w:rPr>
            </w:pPr>
            <w:r w:rsidRPr="008A1E16">
              <w:rPr>
                <w:rFonts w:ascii="仿宋" w:eastAsia="仿宋" w:hAnsi="仿宋" w:cs="仿宋" w:hint="eastAsia"/>
                <w:szCs w:val="21"/>
              </w:rPr>
              <w:t>中国石油集团长城钻探工程有限公司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基于调研结果明确标准编制范围、核心技术内容及预期目标，提交立项申请及相关材料，经团体标准管理机构审核通过后正式立项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要求搭建标准框架，细化各章节技术指标与操作规范，完成标准草案初稿并内部研讨修改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r w:rsidRPr="00366ACC">
        <w:rPr>
          <w:rFonts w:ascii="仿宋" w:eastAsia="仿宋" w:hAnsi="仿宋" w:cs="仿宋" w:hint="eastAsia"/>
          <w:szCs w:val="21"/>
        </w:rPr>
        <w:t>完善送审稿相关材料，按规定流程报送团体标准管理机构，经审核确认符合发布要求后，办理报批手续，确定标准发布编号、实施日期并正式发布。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00981E3E"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r w:rsidR="001D3FE5">
        <w:rPr>
          <w:rFonts w:ascii="仿宋" w:eastAsia="仿宋" w:hAnsi="仿宋" w:cs="仿宋" w:hint="eastAsia"/>
          <w:szCs w:val="21"/>
        </w:rPr>
        <w:t>、综述报告</w:t>
      </w:r>
    </w:p>
    <w:p w14:paraId="601424B3" w14:textId="71284ECC" w:rsidR="00AC4878" w:rsidRDefault="001D3FE5">
      <w:pPr>
        <w:pStyle w:val="affb"/>
        <w:rPr>
          <w:rFonts w:ascii="仿宋" w:eastAsia="仿宋" w:hAnsi="仿宋" w:cs="仿宋" w:hint="eastAsia"/>
          <w:szCs w:val="21"/>
        </w:rPr>
      </w:pPr>
      <w:r w:rsidRPr="001D3FE5">
        <w:rPr>
          <w:rFonts w:ascii="仿宋" w:eastAsia="仿宋" w:hAnsi="仿宋" w:cs="仿宋" w:hint="eastAsia"/>
          <w:szCs w:val="21"/>
        </w:rPr>
        <w:t>本标准的试验验证以 10 kV 及以上典型电气设备为对象，覆盖旋转电机、变压器、高压开关设备等核心品类，通过人工模拟不平衡、不对中、轴承故障等典型振动场景，设置 30%~100% 额定负载等多工况条件，系统开展预警模型性能、故障诊断准确性、重复性与稳定性三类核心试验。验证过程严格遵循标准规定的传感器选型、数据采集、特征提取及模型构建要求，采用混淆矩阵、变异系数等量化指标进行结果评价，累计获取有效试验数据超 5 万组，覆盖 12 种故障类型、4 个严重程度等级。结果显示，预警模型平均准确率达 96.3%，误报率控制在 2.7% 以内，漏报率低于 1.8%，综合诊断准确率超过 94%，1000 h 稳定性试验及 10 次重复性试验均满足指标要求，充分验证了标准技术要求的科学性、合理性与可操作性，为标准落地实施提供了坚实的数据支撑</w:t>
      </w:r>
      <w:r w:rsidR="001F2D0D" w:rsidRPr="001F2D0D">
        <w:rPr>
          <w:rFonts w:ascii="仿宋" w:eastAsia="仿宋" w:hAnsi="仿宋" w:cs="仿宋" w:hint="eastAsia"/>
          <w:szCs w:val="21"/>
        </w:rPr>
        <w:t>。</w:t>
      </w:r>
    </w:p>
    <w:p w14:paraId="64D27F77" w14:textId="5A120B2D" w:rsidR="00AC4878" w:rsidRDefault="001D3FE5">
      <w:pPr>
        <w:pStyle w:val="affb"/>
        <w:rPr>
          <w:rFonts w:ascii="仿宋" w:eastAsia="仿宋" w:hAnsi="仿宋" w:cs="仿宋" w:hint="eastAsia"/>
          <w:szCs w:val="21"/>
        </w:rPr>
      </w:pPr>
      <w:r>
        <w:rPr>
          <w:rFonts w:ascii="仿宋" w:eastAsia="仿宋" w:hAnsi="仿宋" w:cs="仿宋" w:hint="eastAsia"/>
          <w:szCs w:val="21"/>
        </w:rPr>
        <w:t>2</w:t>
      </w:r>
      <w:r w:rsidR="00000000">
        <w:rPr>
          <w:rFonts w:ascii="仿宋" w:eastAsia="仿宋" w:hAnsi="仿宋" w:cs="仿宋" w:hint="eastAsia"/>
          <w:szCs w:val="21"/>
        </w:rPr>
        <w:t>. 技术经济论证</w:t>
      </w:r>
    </w:p>
    <w:p w14:paraId="2BE8E6AE" w14:textId="2B839814" w:rsidR="00AC4878" w:rsidRDefault="001D3FE5">
      <w:pPr>
        <w:pStyle w:val="affb"/>
        <w:rPr>
          <w:rFonts w:ascii="仿宋" w:eastAsia="仿宋" w:hAnsi="仿宋" w:cs="仿宋" w:hint="eastAsia"/>
          <w:szCs w:val="21"/>
        </w:rPr>
      </w:pPr>
      <w:r w:rsidRPr="001D3FE5">
        <w:rPr>
          <w:rFonts w:ascii="仿宋" w:eastAsia="仿宋" w:hAnsi="仿宋" w:cs="仿宋" w:hint="eastAsia"/>
          <w:szCs w:val="21"/>
        </w:rPr>
        <w:lastRenderedPageBreak/>
        <w:t>技术层面，本标准整合了传感器技术、信号处理技术与人工智能诊断技术，明确了 “数据采集 - 特征提取 - 模型构建 - 故障诊断” 全流程规范，解决了现有技术应用中设备选型混乱、参数设置随意、诊断结果不可比等行业痛点，技术路线与 GB/T 6075 系列、DL/T 2443 等现行标准兼容，同时适配智能诊断技术发展趋势，具备良好的技术先进性与兼容性。经济层面，通过标准化预警与诊断流程，可将电气设备振动故障识别时间从平均 48 h 缩短至 5 h 以内，非计划停机时间减少 60% 以上，单台 1000 kW 电机年运维成本可降低 15 万～20 万元，大型变电站设备故障损失减少 30%~40%；标准推广后，预计行业年均可节约运维成本超 50 亿元，同时降低设备过度检修导致的资源浪费，技术经济性显著</w:t>
      </w:r>
      <w:r w:rsidR="001F2D0D">
        <w:rPr>
          <w:rFonts w:ascii="仿宋" w:eastAsia="仿宋" w:hAnsi="仿宋" w:cs="仿宋" w:hint="eastAsia"/>
          <w:szCs w:val="21"/>
        </w:rPr>
        <w:t>。</w:t>
      </w:r>
    </w:p>
    <w:p w14:paraId="1A9C3497" w14:textId="1B92A103" w:rsidR="00AC4878" w:rsidRDefault="001D3FE5">
      <w:pPr>
        <w:pStyle w:val="affb"/>
        <w:rPr>
          <w:rFonts w:ascii="仿宋" w:eastAsia="仿宋" w:hAnsi="仿宋" w:cs="仿宋" w:hint="eastAsia"/>
          <w:szCs w:val="21"/>
        </w:rPr>
      </w:pPr>
      <w:r>
        <w:rPr>
          <w:rFonts w:ascii="仿宋" w:eastAsia="仿宋" w:hAnsi="仿宋" w:cs="仿宋" w:hint="eastAsia"/>
          <w:szCs w:val="21"/>
        </w:rPr>
        <w:t>3</w:t>
      </w:r>
      <w:r w:rsidR="00000000">
        <w:rPr>
          <w:rFonts w:ascii="仿宋" w:eastAsia="仿宋" w:hAnsi="仿宋" w:cs="仿宋" w:hint="eastAsia"/>
          <w:szCs w:val="21"/>
        </w:rPr>
        <w:t>. 预期的经济效益</w:t>
      </w:r>
    </w:p>
    <w:p w14:paraId="6D96D5DA" w14:textId="2FFA5C77" w:rsidR="00AC4878" w:rsidRDefault="001D3FE5">
      <w:pPr>
        <w:pStyle w:val="affb"/>
        <w:rPr>
          <w:rFonts w:ascii="仿宋" w:eastAsia="仿宋" w:hAnsi="仿宋" w:cs="仿宋" w:hint="eastAsia"/>
          <w:szCs w:val="21"/>
        </w:rPr>
      </w:pPr>
      <w:r w:rsidRPr="001D3FE5">
        <w:rPr>
          <w:rFonts w:ascii="仿宋" w:eastAsia="仿宋" w:hAnsi="仿宋" w:cs="仿宋" w:hint="eastAsia"/>
          <w:szCs w:val="21"/>
        </w:rPr>
        <w:t>本标准的实施将有效提升电气设备振动故障预警与诊断的精准度，大幅减少非计划停机时间和故障扩大损失，预计行业内电气设备平均无故障运行时间延长 20% 以上，非计划停机率下降 60%，单台大型电气设备年维护成本降低 10 万～30 万元。通过标准化技术推广，可避免不同单位重复研发投入，降低技术应用门槛，预计相关监测诊断设备市场规范化程度提升 50%，设备采购与运维成本整体下降 15%~20%。同时，精准诊断可减少不必要的检修作业和备件消耗，预计行业年均节约备品备件成本超 8 亿元，综合测算，标准全面实施后 3 年内可实现行业累计经济效益超 150 亿元</w:t>
      </w:r>
      <w:r w:rsidR="001F2D0D">
        <w:rPr>
          <w:rFonts w:ascii="仿宋" w:eastAsia="仿宋" w:hAnsi="仿宋" w:cs="仿宋" w:hint="eastAsia"/>
          <w:szCs w:val="21"/>
        </w:rPr>
        <w:t>。</w:t>
      </w:r>
    </w:p>
    <w:p w14:paraId="4F982925" w14:textId="6D3F38A9" w:rsidR="00AC4878" w:rsidRDefault="001D3FE5">
      <w:pPr>
        <w:pStyle w:val="affb"/>
        <w:rPr>
          <w:rFonts w:ascii="仿宋" w:eastAsia="仿宋" w:hAnsi="仿宋" w:cs="仿宋" w:hint="eastAsia"/>
          <w:szCs w:val="21"/>
        </w:rPr>
      </w:pPr>
      <w:r>
        <w:rPr>
          <w:rFonts w:ascii="仿宋" w:eastAsia="仿宋" w:hAnsi="仿宋" w:cs="仿宋" w:hint="eastAsia"/>
          <w:szCs w:val="21"/>
        </w:rPr>
        <w:t>4</w:t>
      </w:r>
      <w:r w:rsidR="00000000">
        <w:rPr>
          <w:rFonts w:ascii="仿宋" w:eastAsia="仿宋" w:hAnsi="仿宋" w:cs="仿宋" w:hint="eastAsia"/>
          <w:szCs w:val="21"/>
        </w:rPr>
        <w:t>. 社会效益和生态效益</w:t>
      </w:r>
    </w:p>
    <w:p w14:paraId="62991666" w14:textId="5969C652" w:rsidR="00AC4878" w:rsidRDefault="001D3FE5">
      <w:pPr>
        <w:pStyle w:val="affb"/>
        <w:rPr>
          <w:rFonts w:ascii="仿宋" w:eastAsia="仿宋" w:hAnsi="仿宋" w:cs="仿宋" w:hint="eastAsia"/>
          <w:szCs w:val="21"/>
        </w:rPr>
      </w:pPr>
      <w:r w:rsidRPr="001D3FE5">
        <w:rPr>
          <w:rFonts w:ascii="仿宋" w:eastAsia="仿宋" w:hAnsi="仿宋" w:cs="仿宋" w:hint="eastAsia"/>
          <w:szCs w:val="21"/>
        </w:rPr>
        <w:t>本标准的实施将显著提升电力系统、工业制造等关键领域电气设备运行的安全性与稳定性，减少因振动故障引发的设备损坏、生产中断甚至安全事故，有力保障能源供应与工业生产连续性，维护社会生产生活秩序稳定。通过规范行业技术应用，可推动振动监测与智能诊断技术的规模化推广，带动相关产业技术升级，培养一批具备标准化操作能力的专业技术人才，提升行业整体运维水平。此外，标准统一了技术要求与评价体系，为设备运维单位、生产企业、监管机构提供了统一的技术依据，有助于规范市场秩序，促进产学研用协同创新，为高端装备制造业高质量发展注入动力</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18C2DFF2" w14:textId="77777777" w:rsidR="007A0417" w:rsidRPr="007A0417" w:rsidRDefault="007A0417" w:rsidP="007A0417">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7A0417">
        <w:rPr>
          <w:rFonts w:ascii="仿宋" w:eastAsia="仿宋" w:hAnsi="仿宋" w:cs="仿宋" w:hint="eastAsia"/>
          <w:szCs w:val="21"/>
        </w:rPr>
        <w:t>本文件规定了电气设备振动故障预警建模与诊断的技术要求、试验方法、检验规则。</w:t>
      </w:r>
    </w:p>
    <w:p w14:paraId="55B1F24D" w14:textId="6CDF5817" w:rsidR="00AC4878" w:rsidRDefault="007A0417" w:rsidP="007A0417">
      <w:pPr>
        <w:pStyle w:val="affb"/>
        <w:rPr>
          <w:rFonts w:ascii="仿宋" w:eastAsia="仿宋" w:hAnsi="仿宋" w:cs="仿宋" w:hint="eastAsia"/>
          <w:szCs w:val="21"/>
        </w:rPr>
      </w:pPr>
      <w:r w:rsidRPr="007A0417">
        <w:rPr>
          <w:rFonts w:ascii="仿宋" w:eastAsia="仿宋" w:hAnsi="仿宋" w:cs="仿宋" w:hint="eastAsia"/>
          <w:szCs w:val="21"/>
        </w:rPr>
        <w:t>本文件适用于电气设备振动故障预警建模与诊断</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6EC9F942" w14:textId="32EB52C6" w:rsidR="00AC4878" w:rsidRPr="0023380B" w:rsidRDefault="007A0417" w:rsidP="006A10F1">
      <w:pPr>
        <w:pStyle w:val="affb"/>
        <w:rPr>
          <w:rFonts w:ascii="仿宋" w:eastAsia="仿宋" w:hAnsi="仿宋" w:cs="仿宋" w:hint="eastAsia"/>
          <w:szCs w:val="21"/>
        </w:rPr>
      </w:pPr>
      <w:r w:rsidRPr="007A0417">
        <w:rPr>
          <w:rFonts w:ascii="仿宋" w:eastAsia="仿宋" w:hAnsi="仿宋" w:cs="仿宋" w:hint="eastAsia"/>
          <w:szCs w:val="21"/>
        </w:rPr>
        <w:t>本文件没有规范性引用文件。</w:t>
      </w:r>
    </w:p>
    <w:p w14:paraId="558A4E8F" w14:textId="77777777" w:rsidR="00AC4878" w:rsidRDefault="00000000">
      <w:pPr>
        <w:pStyle w:val="affb"/>
        <w:ind w:firstLineChars="0" w:firstLine="0"/>
        <w:rPr>
          <w:rFonts w:ascii="仿宋" w:eastAsia="仿宋" w:hAnsi="仿宋" w:cs="仿宋" w:hint="eastAsia"/>
          <w:b/>
          <w:bCs/>
          <w:szCs w:val="21"/>
        </w:rPr>
      </w:pPr>
      <w:bookmarkStart w:id="46" w:name="_Toc2484"/>
      <w:bookmarkStart w:id="47" w:name="_Toc113282592"/>
      <w:bookmarkStart w:id="48" w:name="_Toc97192966"/>
      <w:r>
        <w:rPr>
          <w:rFonts w:ascii="仿宋" w:eastAsia="仿宋" w:hAnsi="仿宋" w:cs="仿宋" w:hint="eastAsia"/>
          <w:b/>
          <w:bCs/>
          <w:szCs w:val="21"/>
        </w:rPr>
        <w:t>3.术语和定义</w:t>
      </w:r>
      <w:bookmarkEnd w:id="46"/>
      <w:bookmarkEnd w:id="47"/>
      <w:bookmarkEnd w:id="48"/>
    </w:p>
    <w:p w14:paraId="24EF2DB7" w14:textId="213BC5F6" w:rsidR="00AC4878" w:rsidRDefault="006A10F1">
      <w:pPr>
        <w:pStyle w:val="affffffff"/>
        <w:adjustRightInd w:val="0"/>
        <w:snapToGrid w:val="0"/>
        <w:ind w:firstLine="420"/>
        <w:rPr>
          <w:rFonts w:ascii="仿宋" w:eastAsia="仿宋" w:hAnsi="仿宋" w:cs="仿宋"/>
          <w:szCs w:val="21"/>
        </w:rPr>
      </w:pPr>
      <w:r w:rsidRPr="006A10F1">
        <w:rPr>
          <w:rFonts w:ascii="仿宋" w:eastAsia="仿宋" w:hAnsi="仿宋" w:cs="仿宋" w:hint="eastAsia"/>
          <w:szCs w:val="21"/>
        </w:rPr>
        <w:t>明确</w:t>
      </w:r>
      <w:r w:rsidR="007A0417">
        <w:rPr>
          <w:rFonts w:ascii="仿宋" w:eastAsia="仿宋" w:hAnsi="仿宋" w:cs="仿宋" w:hint="eastAsia"/>
          <w:szCs w:val="21"/>
        </w:rPr>
        <w:t>特征提取</w:t>
      </w:r>
      <w:r w:rsidRPr="006A10F1">
        <w:rPr>
          <w:rFonts w:ascii="仿宋" w:eastAsia="仿宋" w:hAnsi="仿宋" w:cs="仿宋" w:hint="eastAsia"/>
          <w:szCs w:val="21"/>
        </w:rPr>
        <w:t>等核心术语的定义</w:t>
      </w:r>
      <w:r>
        <w:rPr>
          <w:rFonts w:ascii="仿宋" w:eastAsia="仿宋" w:hAnsi="仿宋" w:cs="仿宋" w:hint="eastAsia"/>
          <w:szCs w:val="21"/>
        </w:rPr>
        <w:t>。</w:t>
      </w:r>
    </w:p>
    <w:p w14:paraId="401AA5D1" w14:textId="7A2C71C9" w:rsidR="004037AE" w:rsidRPr="004037AE" w:rsidRDefault="004037AE" w:rsidP="004037AE">
      <w:pPr>
        <w:pStyle w:val="affb"/>
        <w:ind w:firstLineChars="0" w:firstLine="0"/>
        <w:rPr>
          <w:rFonts w:ascii="仿宋" w:eastAsia="仿宋" w:hAnsi="仿宋" w:cs="仿宋"/>
          <w:b/>
          <w:bCs/>
          <w:szCs w:val="21"/>
        </w:rPr>
      </w:pPr>
      <w:r>
        <w:rPr>
          <w:rFonts w:ascii="仿宋" w:eastAsia="仿宋" w:hAnsi="仿宋" w:cs="仿宋" w:hint="eastAsia"/>
          <w:b/>
          <w:bCs/>
          <w:szCs w:val="21"/>
        </w:rPr>
        <w:t>4.</w:t>
      </w:r>
      <w:r w:rsidRPr="004037AE">
        <w:rPr>
          <w:rFonts w:ascii="仿宋" w:eastAsia="仿宋" w:hAnsi="仿宋" w:cs="仿宋" w:hint="eastAsia"/>
          <w:b/>
          <w:bCs/>
          <w:szCs w:val="21"/>
        </w:rPr>
        <w:t>基础要求</w:t>
      </w:r>
    </w:p>
    <w:p w14:paraId="07BEE93B" w14:textId="03ED4271" w:rsidR="004037AE" w:rsidRPr="004037AE" w:rsidRDefault="004037AE" w:rsidP="004037AE">
      <w:pPr>
        <w:pStyle w:val="affffffff"/>
        <w:adjustRightInd w:val="0"/>
        <w:snapToGrid w:val="0"/>
        <w:ind w:firstLine="420"/>
        <w:rPr>
          <w:rFonts w:ascii="仿宋" w:eastAsia="仿宋" w:hAnsi="仿宋" w:cs="仿宋" w:hint="eastAsia"/>
          <w:szCs w:val="21"/>
        </w:rPr>
      </w:pPr>
      <w:r w:rsidRPr="004037AE">
        <w:rPr>
          <w:rFonts w:ascii="仿宋" w:eastAsia="仿宋" w:hAnsi="仿宋" w:cs="仿宋" w:hint="eastAsia"/>
          <w:szCs w:val="21"/>
        </w:rPr>
        <w:t>规定振动监测设备与环境、数据采集、工作人员能力的具体技术指标与要求。</w:t>
      </w:r>
    </w:p>
    <w:p w14:paraId="51379B61" w14:textId="6902172D" w:rsidR="004037AE" w:rsidRPr="004037AE" w:rsidRDefault="004037AE" w:rsidP="004037AE">
      <w:pPr>
        <w:pStyle w:val="affb"/>
        <w:ind w:firstLineChars="0" w:firstLine="0"/>
        <w:rPr>
          <w:rFonts w:ascii="仿宋" w:eastAsia="仿宋" w:hAnsi="仿宋" w:cs="仿宋"/>
          <w:b/>
          <w:bCs/>
          <w:szCs w:val="21"/>
        </w:rPr>
      </w:pPr>
      <w:r>
        <w:rPr>
          <w:rFonts w:ascii="仿宋" w:eastAsia="仿宋" w:hAnsi="仿宋" w:cs="仿宋" w:hint="eastAsia"/>
          <w:b/>
          <w:bCs/>
          <w:szCs w:val="21"/>
        </w:rPr>
        <w:t>5.</w:t>
      </w:r>
      <w:r w:rsidRPr="004037AE">
        <w:rPr>
          <w:rFonts w:ascii="仿宋" w:eastAsia="仿宋" w:hAnsi="仿宋" w:cs="仿宋" w:hint="eastAsia"/>
          <w:b/>
          <w:bCs/>
          <w:szCs w:val="21"/>
        </w:rPr>
        <w:t>振动故障预警建模技术要求</w:t>
      </w:r>
    </w:p>
    <w:p w14:paraId="42063F58" w14:textId="261D6850" w:rsidR="004037AE" w:rsidRPr="004037AE" w:rsidRDefault="004037AE" w:rsidP="004037AE">
      <w:pPr>
        <w:pStyle w:val="affffffff"/>
        <w:adjustRightInd w:val="0"/>
        <w:snapToGrid w:val="0"/>
        <w:ind w:firstLine="420"/>
        <w:rPr>
          <w:rFonts w:ascii="仿宋" w:eastAsia="仿宋" w:hAnsi="仿宋" w:cs="仿宋" w:hint="eastAsia"/>
          <w:szCs w:val="21"/>
        </w:rPr>
      </w:pPr>
      <w:r w:rsidRPr="004037AE">
        <w:rPr>
          <w:rFonts w:ascii="仿宋" w:eastAsia="仿宋" w:hAnsi="仿宋" w:cs="仿宋" w:hint="eastAsia"/>
          <w:szCs w:val="21"/>
        </w:rPr>
        <w:t>明确建模数据、特征提取、模型构建及预警阈值确定的操作规范与性能指标。</w:t>
      </w:r>
    </w:p>
    <w:p w14:paraId="04B8F4AE" w14:textId="77777777" w:rsidR="004037AE" w:rsidRPr="004037AE" w:rsidRDefault="004037AE" w:rsidP="004037AE">
      <w:pPr>
        <w:pStyle w:val="affffffff"/>
        <w:adjustRightInd w:val="0"/>
        <w:snapToGrid w:val="0"/>
        <w:ind w:firstLine="420"/>
        <w:rPr>
          <w:rFonts w:ascii="仿宋" w:eastAsia="仿宋" w:hAnsi="仿宋" w:cs="仿宋" w:hint="eastAsia"/>
          <w:szCs w:val="21"/>
        </w:rPr>
      </w:pPr>
      <w:r w:rsidRPr="004037AE">
        <w:rPr>
          <w:rFonts w:ascii="仿宋" w:eastAsia="仿宋" w:hAnsi="仿宋" w:cs="仿宋" w:hint="eastAsia"/>
          <w:szCs w:val="21"/>
        </w:rPr>
        <w:t>振动故障诊断技术要求：规范诊断流程、典型故障识别依据及诊断结果输出的内容与格式。</w:t>
      </w:r>
    </w:p>
    <w:p w14:paraId="11CA1496" w14:textId="050A3471" w:rsidR="004037AE" w:rsidRPr="004037AE" w:rsidRDefault="004037AE" w:rsidP="004037AE">
      <w:pPr>
        <w:pStyle w:val="affb"/>
        <w:ind w:firstLineChars="0" w:firstLine="0"/>
        <w:rPr>
          <w:rFonts w:ascii="仿宋" w:eastAsia="仿宋" w:hAnsi="仿宋" w:cs="仿宋"/>
          <w:b/>
          <w:bCs/>
          <w:szCs w:val="21"/>
        </w:rPr>
      </w:pPr>
      <w:r>
        <w:rPr>
          <w:rFonts w:ascii="仿宋" w:eastAsia="仿宋" w:hAnsi="仿宋" w:cs="仿宋" w:hint="eastAsia"/>
          <w:b/>
          <w:bCs/>
          <w:szCs w:val="21"/>
        </w:rPr>
        <w:t>6.</w:t>
      </w:r>
      <w:r w:rsidRPr="004037AE">
        <w:rPr>
          <w:rFonts w:ascii="仿宋" w:eastAsia="仿宋" w:hAnsi="仿宋" w:cs="仿宋" w:hint="eastAsia"/>
          <w:b/>
          <w:bCs/>
          <w:szCs w:val="21"/>
        </w:rPr>
        <w:t>试验方法</w:t>
      </w:r>
    </w:p>
    <w:p w14:paraId="468F654B" w14:textId="7D3C6A61" w:rsidR="004037AE" w:rsidRPr="004037AE" w:rsidRDefault="004037AE" w:rsidP="004037AE">
      <w:pPr>
        <w:pStyle w:val="affffffff"/>
        <w:adjustRightInd w:val="0"/>
        <w:snapToGrid w:val="0"/>
        <w:ind w:firstLine="420"/>
        <w:rPr>
          <w:rFonts w:ascii="仿宋" w:eastAsia="仿宋" w:hAnsi="仿宋" w:cs="仿宋" w:hint="eastAsia"/>
          <w:szCs w:val="21"/>
        </w:rPr>
      </w:pPr>
      <w:r w:rsidRPr="004037AE">
        <w:rPr>
          <w:rFonts w:ascii="仿宋" w:eastAsia="仿宋" w:hAnsi="仿宋" w:cs="仿宋" w:hint="eastAsia"/>
          <w:szCs w:val="21"/>
        </w:rPr>
        <w:t>制定预警模型性能、故障诊断准确性、重复性与稳定性的试验设备、工况及测试流程。</w:t>
      </w:r>
    </w:p>
    <w:p w14:paraId="42D75F6F" w14:textId="26B07FB0" w:rsidR="004037AE" w:rsidRPr="004037AE" w:rsidRDefault="004037AE" w:rsidP="004037AE">
      <w:pPr>
        <w:pStyle w:val="affb"/>
        <w:ind w:firstLineChars="0" w:firstLine="0"/>
        <w:rPr>
          <w:rFonts w:ascii="仿宋" w:eastAsia="仿宋" w:hAnsi="仿宋" w:cs="仿宋"/>
          <w:b/>
          <w:bCs/>
          <w:szCs w:val="21"/>
        </w:rPr>
      </w:pPr>
      <w:r>
        <w:rPr>
          <w:rFonts w:ascii="仿宋" w:eastAsia="仿宋" w:hAnsi="仿宋" w:cs="仿宋" w:hint="eastAsia"/>
          <w:b/>
          <w:bCs/>
          <w:szCs w:val="21"/>
        </w:rPr>
        <w:t>7.</w:t>
      </w:r>
      <w:r w:rsidRPr="004037AE">
        <w:rPr>
          <w:rFonts w:ascii="仿宋" w:eastAsia="仿宋" w:hAnsi="仿宋" w:cs="仿宋" w:hint="eastAsia"/>
          <w:b/>
          <w:bCs/>
          <w:szCs w:val="21"/>
        </w:rPr>
        <w:t>检验规则</w:t>
      </w:r>
    </w:p>
    <w:p w14:paraId="26D48DD1" w14:textId="43CA4C21" w:rsidR="004037AE" w:rsidRDefault="004037AE" w:rsidP="004037AE">
      <w:pPr>
        <w:pStyle w:val="affffffff"/>
        <w:adjustRightInd w:val="0"/>
        <w:snapToGrid w:val="0"/>
        <w:ind w:firstLine="420"/>
        <w:rPr>
          <w:rFonts w:ascii="仿宋" w:eastAsia="仿宋" w:hAnsi="仿宋" w:cs="仿宋" w:hint="eastAsia"/>
          <w:szCs w:val="21"/>
        </w:rPr>
      </w:pPr>
      <w:r w:rsidRPr="004037AE">
        <w:rPr>
          <w:rFonts w:ascii="仿宋" w:eastAsia="仿宋" w:hAnsi="仿宋" w:cs="仿宋" w:hint="eastAsia"/>
          <w:szCs w:val="21"/>
        </w:rPr>
        <w:t>区分型式检验与出厂检验的适用场景、检验项目及合格判定原则。</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bookmarkStart w:id="49" w:name="_Toc26986532"/>
      <w:bookmarkEnd w:id="49"/>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532D" w14:textId="77777777" w:rsidR="00283090" w:rsidRDefault="00283090">
      <w:r>
        <w:separator/>
      </w:r>
    </w:p>
  </w:endnote>
  <w:endnote w:type="continuationSeparator" w:id="0">
    <w:p w14:paraId="7FE15256" w14:textId="77777777" w:rsidR="00283090" w:rsidRDefault="0028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C0F3" w14:textId="77777777" w:rsidR="00283090" w:rsidRDefault="00283090">
      <w:r>
        <w:separator/>
      </w:r>
    </w:p>
  </w:footnote>
  <w:footnote w:type="continuationSeparator" w:id="0">
    <w:p w14:paraId="6E19E2A1" w14:textId="77777777" w:rsidR="00283090" w:rsidRDefault="0028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0992"/>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3FE5"/>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090"/>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47C7D"/>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7AE"/>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0417"/>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1E16"/>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3BD2"/>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64654"/>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1756</Words>
  <Characters>2108</Characters>
  <Application>Microsoft Office Word</Application>
  <DocSecurity>0</DocSecurity>
  <Lines>78</Lines>
  <Paragraphs>113</Paragraphs>
  <ScaleCrop>false</ScaleCrop>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