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188"/>
      <w:bookmarkStart w:id="1" w:name="_Toc298937609"/>
      <w:bookmarkStart w:id="2" w:name="_Toc298937100"/>
      <w:bookmarkStart w:id="3" w:name="_Toc309995999"/>
      <w:bookmarkStart w:id="4" w:name="_Toc309995390"/>
      <w:bookmarkStart w:id="5" w:name="_Toc298936801"/>
      <w:bookmarkStart w:id="6" w:name="_Toc298937276"/>
      <w:bookmarkStart w:id="7" w:name="_Toc298937419"/>
      <w:bookmarkStart w:id="8" w:name="_Toc304828066"/>
      <w:bookmarkStart w:id="9" w:name="_Toc298938635"/>
      <w:bookmarkStart w:id="10" w:name="_Toc309995578"/>
      <w:bookmarkStart w:id="11" w:name="_Toc298937167"/>
      <w:bookmarkStart w:id="12" w:name="_Toc309994551"/>
      <w:bookmarkStart w:id="13" w:name="_Toc499110426"/>
      <w:bookmarkStart w:id="14" w:name="_Toc309995472"/>
      <w:bookmarkStart w:id="15" w:name="_Toc298937152"/>
      <w:bookmarkStart w:id="16" w:name="_Toc298938783"/>
      <w:bookmarkStart w:id="17" w:name="_Toc304402664"/>
      <w:bookmarkStart w:id="18" w:name="_Toc309993180"/>
      <w:bookmarkStart w:id="19" w:name="_Toc298937201"/>
      <w:bookmarkStart w:id="20" w:name="_Toc298923383"/>
      <w:bookmarkStart w:id="21" w:name="_Toc298937357"/>
      <w:bookmarkStart w:id="22" w:name="_Toc298937462"/>
      <w:bookmarkStart w:id="23" w:name="_Toc304825081"/>
      <w:bookmarkStart w:id="24" w:name="_Toc37234703"/>
      <w:bookmarkStart w:id="25" w:name="_Toc304824969"/>
      <w:bookmarkStart w:id="26" w:name="_Toc298936924"/>
      <w:bookmarkStart w:id="27" w:name="_Toc304825008"/>
      <w:bookmarkStart w:id="28" w:name="_Toc309997040"/>
      <w:bookmarkStart w:id="29" w:name="_Toc6138"/>
      <w:bookmarkStart w:id="30" w:name="_Toc310002637"/>
      <w:bookmarkStart w:id="31" w:name="_Toc29893732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《AI边缘计算单元能效比测试方法》</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2DDE34C">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w:t>
      </w:r>
      <w:r>
        <w:rPr>
          <w:rFonts w:hint="eastAsia" w:ascii="仿宋" w:hAnsi="仿宋" w:eastAsia="仿宋" w:cs="仿宋"/>
          <w:sz w:val="21"/>
          <w:szCs w:val="21"/>
          <w:highlight w:val="none"/>
          <w:lang w:val="en-US" w:eastAsia="zh-CN"/>
        </w:rPr>
        <w:t>10月20</w:t>
      </w:r>
      <w:r>
        <w:rPr>
          <w:rFonts w:hint="eastAsia" w:ascii="仿宋" w:hAnsi="仿宋" w:eastAsia="仿宋" w:cs="仿宋"/>
          <w:sz w:val="21"/>
          <w:szCs w:val="21"/>
          <w:lang w:val="en-US" w:eastAsia="zh-CN"/>
        </w:rPr>
        <w:t>日，中国西部开发促进会发布《AI边缘计算单元能效比测试方法》团体标准立项通知,开展团体标准的编制工作。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 AI 边缘计算单元能效比测试方法团体标准，核心目的是建立统一、科学、可落地的能效评估体系，解决当前行业测试规范缺失导致的 “能效数据不可比、测试结果不可信” 问题。随着 AI 边缘计算在工业物联网、智能安防、车载终端等场景的规模化应用，不同企业对 “能效比” 的定义、测试环境（温度、负载类型）、计算方法差异极大 —— 部分企业以 “空载功耗” 替代 “满载能效”，部分采用非典型轻量负载虚标数据，导致用户选型时难以横向对比，项目落地后常出现 “实际能耗远超预期” 的问题。该标准旨在通过明确测试环境参数、统一测试负载组合、规范能效比计算方法，为企业提供清晰的测试依据，为用户提供可验证的选型参考，最终实现 “同一标准下，不同产品能效水平可量化、可对比、可追溯”，推动 AI 边缘计算单元从 “参数比拼” 转向 “实际能效竞争”，匹配各行业对边缘设备 “低功耗、高可靠” 的核心需求。</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该团体标准的制定，对 AI 边缘计算产业、企业发展及下游应用场景具有多维度战略意义。从产业层面看，标准将填补 AI 边缘计算单元能效评测的专项规范空白，统一行业技术语言与评价基准，遏制 “以次充好”“虚标能效” 等乱象，引导产业链上下游聚焦低功耗芯片研发、高效散热设计、AI 推理框架优化等核心技术突破，推动产业从 “低水平同质化竞争” 转向 “高质量技术竞争”，提升我国在全球边缘计算领域的技术话语权与产品竞争力。从企业层面看，标准为生产企业提供了“研发-测试-品控”的全流程技术依据，可大幅降低企业因测试方法不统一导致的研发试错成本与客户沟通成本 —— 中小型企业可依托标准快速对标行业先进水平，龙头企业则能通过参与标准制定强化技术引领地位，拓展工业、车载等对能效要求严苛的高端市场。从应用层面看，标准能帮助下游用户（如智慧工厂、安防企业）精准筛选符合场景能效需求的产品，减少因设备高能耗导致的运维成本增加，保障边缘计算系统长期稳定、经济运行。</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2877DB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 AI 边缘计算产业发展的现实痛点，决定了该团体标准制定的迫切必要性。一方面，边缘计算场景的特殊性对能效提出刚性约束 —— 工业现场常面临 “供电有限、散热空间狭小”，车载终端需平衡 “算力需求与续航能力”，户外智能设备依赖电池供电，这些场景均要求边缘单元具备高能效，但因无统一测试标准，企业无法精准验证产品能效是否匹配场景需求，用户也无法有效规避 “选型风险”，导致大量不符合能效要求的产品流入市场，造成资源浪费与项目故障。另一方面，国家 “双碳” 目标与绿色低碳发展战略，对 ICT 产业提出明确节能要求，AI 边缘计算作为数字经济的关键基础设施，其能效水平直接影响产业碳减排进程。此外，全球范围内边缘计算能效标准尚处于起步阶段，我国率先制定团体标准，可抢占技术标准制高点，为后续转化为行业标准、国家标准乃至国际标准奠定基础，避免受制于国外标准体系，保障我国边缘计算产业自主可控发展。</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构建一套科学、严谨且标准化的AI边缘计算单元能效比测试方法，其重要性不言而喻。它是衡量技术先进性与产品选型的核心依据，是保障终端系统落地效能与可靠性的关键前提，是推动产业迈向“绿色计算”与可持续发展的关键驱动。因此，一套精准的AI边缘计算单元能效比测试方法，正是支撑本轮边缘智能规模化落地与产业健康发展的核心基石，其对于促进技术迭代、优化产品设计与保障系统级可靠性方面的应用价值，至关重要。</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江苏领佳科技有限公司等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江苏领佳科技有限公司等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标准起草组成立后，严格遵循标准化流程，通过实地调研、企业交流及行业数据采集，深度剖析国内主流产品的技术参数、生产工艺与应用场景，精准把握行业技术痛点。同时广泛搜集相关标准和国外技术资料，进行了大量的研究分析、资料查证工作，确定了标准的制定原则，结合现有AI边缘计算单元能效比实际测试方法，为标准的起草奠定了基础。标准起草组进一步研究了AI边缘计算单元能效比测试方法，明确了技术要求，为标准的具体起草指明方向。</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4D8E3C7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应智能物联网与边缘计算产业对高能效硬件技术的迫切需求，推动边缘AI产业链标准化与高质量发展，标准起草工作组正式提出《AI边缘计算单元能效比测试方法》团体标准的立项申请。</w:t>
      </w:r>
    </w:p>
    <w:p w14:paraId="1A1CC77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AI边缘计算单元能效比测试方法是面向智能制造、自动驾驶设备、边缘服务器等关键场景，兼具性能量化与能效评估功能的核心技术评价体系。该方法针对典型AI推理负载（如目标检测、图像分类、自然语言处理任务），采用标准化功耗采集设备与基准测试程序，系统化测量单位功耗下的有效算力输出（TOPS/W）、典型负载能效曲线、持续高负载稳定性等关键指标。其技术内涵涵盖测试环境统一构建原则、基准AI模型集设计、功耗采样频率规范、数据统计与报告生成机制等，是实现“精准度量、科学比对、产业共识”技术目标，满足产业链对硬件能效透明化评价需求与产品选型升级的核心工具。在产业技术向“绿色计算、端侧智能、规模化部署”加速演进的背景下，科学可靠的AI边缘计算单元能效比测试方法已成为提升产品竞争力、保障系统级能效优化的关键基础。</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鉴于现行国家标准与行业标准在AI边缘计算单元的能效定义、测试负载、计量方法等关键技术环节存在显著空白，未对典型功耗场景划分、基准模型选择、能效比统计口径等关键维度形成统一规范，导致市场能效宣称混乱、产品横向对比困难、用户采购缺乏可靠依据。为系统解决上述行业痛点，标准起草工作组在充分调研产业现状和技术发展趋势的基础上，参考了主流芯片企业、设备制造商及终端用户的测试实践与数据积累，提出本团体标准立项，旨在为行业提供统一、科学、可操作的能效评价规范与技术指引。</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在理论研究基础上，起草组在标准编制过程中充分借鉴已有的理论研究和实践成果，基于我国基本国情，经过数次修改，形成了《AI边缘计算单元能效比测试方法》标准草案稿。</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 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eastAsia="zh-CN"/>
        </w:rPr>
      </w:pPr>
      <w:r>
        <w:rPr>
          <w:rFonts w:hint="eastAsia" w:ascii="仿宋" w:hAnsi="仿宋" w:eastAsia="仿宋" w:cs="仿宋"/>
          <w:sz w:val="21"/>
          <w:szCs w:val="21"/>
        </w:rPr>
        <w:t>结合相关国家标准、行业标准及企业内部管控的项目进行要求规定和试验验证。国家标准提供基础框架与通用准则，行业标准细化特定领域技术指标与操作规范，企业内部管控文件则结合实际业务需求，明确人员职责、流程节点与质量控制点。同时，建立分级分类的试验验证体系，针对关键指标采用模拟工况测试、第三方机构检测等方法，运用统计学原理对数据进行分析评估，确保每个环节均满足多维度标准要求，最终形成从标准对标、规范制定到试验验证的完整闭环管理机制</w:t>
      </w:r>
      <w:r>
        <w:rPr>
          <w:rFonts w:hint="eastAsia" w:ascii="仿宋" w:hAnsi="仿宋" w:eastAsia="仿宋" w:cs="仿宋"/>
          <w:sz w:val="21"/>
          <w:szCs w:val="21"/>
          <w:lang w:eastAsia="zh-CN"/>
        </w:rPr>
        <w:t>。</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061F2F9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AI 边缘计算单元能效比测试方法团体标准的制定与实施，是破解当前产业能效评测乱象、支撑 “双碳” 目标、推动 AI 边缘计算高质量发展的关键举措。标准通过统一技术语言、规范测试流程、明确计算方法，构建了科学、可落地的能效评测体系，将为产业、企业、用户与监管部门带来多维度效益，助力我国在全球边缘计算产业竞争中抢占先机，为数字经济绿色低碳发展提供坚实技术支撑。</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3E20AE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技术层面：</w:t>
      </w:r>
      <w:r>
        <w:rPr>
          <w:rFonts w:hint="eastAsia" w:ascii="仿宋" w:hAnsi="仿宋" w:eastAsia="仿宋" w:cs="仿宋"/>
          <w:sz w:val="21"/>
          <w:szCs w:val="21"/>
        </w:rPr>
        <w:t>AI 边缘计算单元能效比测试方法团体标准在术语定义、测试体系、计算方法上科学严谨，设备易获取、流程可操作，且具有场景化、动态适配的技术先进性，完全符合当前产业技术需求与未来发展方向，技术可行性与先进性均通过验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经济层面：标准实施短期成本可控，长期可通过降低研发试错成本、提升产品溢价、减少社会资源浪费等实现多维度收益，企业成本回收周期短，行业与社会端成本效益比极高，经济价值显著。</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69B31D3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在企业层面，标准将成为降本增效与提升竞争力的关键抓手。对生产企业而言，统一的测试方法可大幅减少因 “客户差异化测试要求” 导致的研发试错成本 —— 据行业调研，无标准时企业需为不同客户调整测试方案，试错成本占年度研发投入的 20%-30%，标准落地后可降低该部分成本 15-20 个百分点，按中小型边缘计算企业年均 50 万元研发投入测算，年节省成本 7.5-10 万元；同时，符合标准的高能效产品在工业、车载等高端场景可获得 10%-15% 的产品溢价，龙头企业依托标准强化技术引领地位，预计市场份额可提升 5-8 个百分点，额外创造年营收增长 10%-20%。对下游应用企业而言，标准帮助精准筛选符合场景能效需求的产品，避免 “高能耗设备运维陷阱”—— 以智慧工厂部署 1000 台边缘单元为例，选用达标产品（能效比提升 30%）可减少设备能耗与散热投入，按每天运行 8 小时、工业电价 0.8 元 / 度计算，年节省电费约 1.44 万元，大规模部署场景下经济效益更显著。</w:t>
      </w:r>
    </w:p>
    <w:p w14:paraId="185BF21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在行业层面，标准将推动资源优化配置，加速产业向 “高能效、高价值” 转型。一方面，标准通过明确能效门槛，可淘汰当前市场约 30% 的低能效、高损耗产品，避免无效投资与资源浪费 —— 按 2024 年国内 AI 边缘计算单元市场规模 100 亿元测算，每年可减少行业低质产品无效投入 20-30 亿元；另一方面，标准引导产业链上下游聚焦能效优化技术研发，推动上游低功耗 AI 芯片（如 ASIC 芯片能效比提升 20%）、中游高效散热模组（成本降低 15%）、下游场景化能效适配方案的创新突破，预计 3-5 年内可推动行业整体能效水平提升 30%-40%，对应年节省行业总能耗 5-8 亿度，折合电费 4-6.4 亿元，显著降低产业运行成本。</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在社会层面，标准将为 “双碳” 目标落地与社会成本节约提供有力支撑。从碳减排角度，行业能效提升 30%-40% 可实现年减少碳排放 30-48 万吨（按火电碳排放系数 0.6 吨 CO₂/ 度测算），若未来实施碳税政策（按 50 元 / 吨测算），每年可帮助行业规避碳税成本 1500-2400 万元；从社会资源节约角度，下游用户（如智慧安防、智慧城市建设）通过选用达标产品，可减少设备更换频率与额外散热设施投入，按全国 10 万家企业部署边缘单元测算，年节省社会运维总成本约 14.4 亿元，同时降低因设备高能耗导致的电力资源紧张压力，为数字经济绿色低碳发展提供坚实保障。</w:t>
      </w:r>
      <w:bookmarkStart w:id="35" w:name="_GoBack"/>
      <w:bookmarkEnd w:id="35"/>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059B3FF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制定并实施AI边缘计算单元能效比测试方法的团体标准，将为行业、企业、用户及市场监管带来多维度、系统性的显著效益，推动产业实现高质量与可持续发展。</w:t>
      </w:r>
    </w:p>
    <w:p w14:paraId="3E8EC43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对行业而言，该标准将填补AI边缘计算单元能效性能评价方面的技术规范空白，统一能效比的核心定义、测试条件、评价指标与测量方法，有效遏制“性能虚标”“能效数据不实”等行业乱象。通过建立科学、可比的评价体系，引导企业从低水平硬件堆叠竞争转向高能效技术竞争，推动产业链上下游协同优化芯片设计、散热方案与功耗管理策略，加速行业向“绿色化、高效化、标准化”方向转型，整体提升产业技术竞争力与国际认可度。</w:t>
      </w:r>
    </w:p>
    <w:p w14:paraId="4574B41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对生产企业而言，标准提供了明确的设计验证与能效测试依据，有助于企业优化产品架构、改进功耗控制算法，降低研发与测试验证的不确定性。通过统一的能效评价体系，企业可提升产品性能的一致性与可比性，增强市场竞争力。对中小型企业而言，标准可作为技术改进的“参考蓝图”，帮助其快速对标行业先进水平；对技术领先企业，则可进一步巩固其在能效性能方面的引领地位，形成“标准支撑创新、创新提升产品”的良性发展机制，拓展工业物联网、智能安防、自动驾驶等高价值应用场景。</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对用户而言，标准构建了客观的能效性能判断依据，使用户能够在采购过程中依据统一的能效比数据，评估AI边缘计算单元在实际部署中的功耗表现与运行成本，避免因能效信息不透明导致的设备选型偏差与长期使用成本过高的问题。这不仅有助于用户做出更经济、更绿色的采购决策，也提升了其对AI边缘计算产品性能的信任度与使用满意度。对市场监管而言，标准提供了科学、可操作的能效检测与技术监督依据，有助于开展产品能效抽查与性能符合性评估，提升监管的针对性和效率，维护市场秩序，防止不正当竞争。最终，通过建立共识性的能效测试标准，实现行业有序发展、企业技术提升、用户权益保障与市场监管优化的多方共赢局面。</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参照相关国家标准及行业实践，《AI边缘计算单元能效比测试方法》团体标准在制定过程中充分借鉴了国内外现有能效评估相关标准的要求与规范，注重与现行标准体系的衔接与协调，确保测试方法的科学性和可比性。同时，本规范针对AI边缘计算单元在实时性、功耗约束及环境适应性等方面的特殊需求，对能效比的测试条件、测量流程和评价指标作出了具体细化的规定，有效填补了当前标准在该专业领域的空白。</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2041CA57">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w:t>
      </w:r>
      <w:r>
        <w:rPr>
          <w:rFonts w:hint="default" w:ascii="仿宋" w:hAnsi="仿宋" w:eastAsia="仿宋" w:cs="仿宋"/>
          <w:b/>
          <w:bCs/>
          <w:sz w:val="21"/>
          <w:szCs w:val="21"/>
          <w:lang w:val="en-US" w:eastAsia="zh-CN"/>
        </w:rPr>
        <w:t>范围</w:t>
      </w:r>
    </w:p>
    <w:p w14:paraId="249B5D8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本文件规定了规定了集成AI加速功能的边缘计算单元在进行典型人工智能推理任务时的能效比测试方法，包括测试环境、测试负载、性能指标、测试流程及能效比计算方法。</w:t>
      </w:r>
    </w:p>
    <w:p w14:paraId="732DE26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本文件适用于设计、生产、检验及选型过程中对各类AI边缘计算单元的能效水平进行评估与比对。</w:t>
      </w:r>
    </w:p>
    <w:p w14:paraId="6343A07D">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2、规范性引用文件</w:t>
      </w:r>
    </w:p>
    <w:p w14:paraId="03BC1D5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该章节列出了本文件所引用的标准文件。</w:t>
      </w:r>
    </w:p>
    <w:p w14:paraId="78F4B88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3、术语和定义</w:t>
      </w:r>
    </w:p>
    <w:p w14:paraId="57704CB2">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该章节给出了AI边缘计算单元能效比测试方法的相关术语定义</w:t>
      </w:r>
      <w:r>
        <w:rPr>
          <w:rFonts w:hint="default" w:ascii="仿宋" w:hAnsi="仿宋" w:eastAsia="仿宋" w:cs="仿宋"/>
          <w:sz w:val="21"/>
          <w:szCs w:val="21"/>
          <w:lang w:val="en-US" w:eastAsia="zh-CN"/>
        </w:rPr>
        <w:t>。</w:t>
      </w:r>
    </w:p>
    <w:p w14:paraId="2F2B061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4、</w:t>
      </w:r>
      <w:r>
        <w:rPr>
          <w:rFonts w:hint="eastAsia" w:ascii="仿宋" w:hAnsi="仿宋" w:eastAsia="仿宋" w:cs="仿宋"/>
          <w:b/>
          <w:bCs/>
          <w:sz w:val="21"/>
          <w:szCs w:val="21"/>
          <w:lang w:val="en-US" w:eastAsia="zh-CN"/>
        </w:rPr>
        <w:t>测试环境要求</w:t>
      </w:r>
    </w:p>
    <w:p w14:paraId="7ADA599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本章节主要规定了AI边缘计算单元能效比测试过程中的硬件环境、软件环境及物理环境要求。</w:t>
      </w:r>
    </w:p>
    <w:p w14:paraId="6EA098DD">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5、测试负载与性能指标</w:t>
      </w:r>
    </w:p>
    <w:p w14:paraId="69F36B6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本章节规定了AI边缘计算单元能效比测试过程中所使用的测试负载以及相关的性能指标。</w:t>
      </w:r>
    </w:p>
    <w:p w14:paraId="1CE404E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6、测试方法</w:t>
      </w:r>
    </w:p>
    <w:p w14:paraId="46F22C4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本章节主要规定了AI边缘计算单元能效比测试的具体方法。</w:t>
      </w:r>
    </w:p>
    <w:p w14:paraId="4ACE5C3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7、能效比计算方法</w:t>
      </w:r>
    </w:p>
    <w:p w14:paraId="1975F10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本章节主要规定了AI边缘计算单元的能效比计算方法以及测试报告的具体内容。</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1FE85025"/>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4E87903"/>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72DD9"/>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2CF6267"/>
    <w:rsid w:val="53B37335"/>
    <w:rsid w:val="53EC3BAC"/>
    <w:rsid w:val="54150FAA"/>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D41235"/>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5862</Words>
  <Characters>6045</Characters>
  <Lines>17</Lines>
  <Paragraphs>4</Paragraphs>
  <TotalTime>0</TotalTime>
  <ScaleCrop>false</ScaleCrop>
  <LinksUpToDate>false</LinksUpToDate>
  <CharactersWithSpaces>6186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2025-10-28T08:03:36Z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CA63D4E9CAF04B35810FBA0026F626AF</vt:lpwstr>
  </property>
  <property fmtid="{D5CDD505-2E9C-101B-9397-08002B2CF9AE}" pid="4" name="KSOTemplateDocerSaveRecord">
    <vt:lpwstr>eyJoZGlkIjoiMjdlZDgyOTQyNjFjNTk3MWVlYTY0NzMzZGMxODZkODYiLCJ1c2VySWQiOiIxNTY4NTU3MDQ2In0=</vt:lpwstr>
  </property>
</Properties>
</file>