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054B" w14:textId="77777777" w:rsidR="00AC4878" w:rsidRDefault="00AC4878">
      <w:pPr>
        <w:pStyle w:val="a0"/>
        <w:numPr>
          <w:ilvl w:val="0"/>
          <w:numId w:val="0"/>
        </w:numPr>
        <w:spacing w:before="312" w:after="312"/>
        <w:rPr>
          <w:rFonts w:ascii="仿宋" w:eastAsia="仿宋" w:hAnsi="仿宋" w:cs="仿宋" w:hint="eastAsia"/>
          <w:b/>
          <w:bCs/>
          <w:sz w:val="32"/>
          <w:szCs w:val="32"/>
        </w:rPr>
      </w:pPr>
      <w:bookmarkStart w:id="0" w:name="_Toc304825081"/>
      <w:bookmarkStart w:id="1" w:name="_Toc309995999"/>
      <w:bookmarkStart w:id="2" w:name="_Toc298937419"/>
      <w:bookmarkStart w:id="3" w:name="_Toc309995472"/>
      <w:bookmarkStart w:id="4" w:name="_Toc304402664"/>
      <w:bookmarkStart w:id="5" w:name="_Toc304828066"/>
      <w:bookmarkStart w:id="6" w:name="_Toc309994551"/>
      <w:bookmarkStart w:id="7" w:name="_Toc304824969"/>
      <w:bookmarkStart w:id="8" w:name="_Toc310002637"/>
      <w:bookmarkStart w:id="9" w:name="_Toc298937201"/>
      <w:bookmarkStart w:id="10" w:name="_Toc298937276"/>
      <w:bookmarkStart w:id="11" w:name="_Toc304825008"/>
      <w:bookmarkStart w:id="12" w:name="_Toc298937357"/>
      <w:bookmarkStart w:id="13" w:name="_Toc309995390"/>
      <w:bookmarkStart w:id="14" w:name="_Toc298937100"/>
      <w:bookmarkStart w:id="15" w:name="_Toc309997040"/>
      <w:bookmarkStart w:id="16" w:name="_Toc298937188"/>
      <w:bookmarkStart w:id="17" w:name="_Toc298938635"/>
      <w:bookmarkStart w:id="18" w:name="_Toc298937462"/>
      <w:bookmarkStart w:id="19" w:name="_Toc298937152"/>
      <w:bookmarkStart w:id="20" w:name="_Toc298936801"/>
      <w:bookmarkStart w:id="21" w:name="_Toc37234703"/>
      <w:bookmarkStart w:id="22" w:name="_Toc298937322"/>
      <w:bookmarkStart w:id="23" w:name="_Toc309993180"/>
      <w:bookmarkStart w:id="24" w:name="_Toc309995578"/>
      <w:bookmarkStart w:id="25" w:name="_Toc298923383"/>
      <w:bookmarkStart w:id="26" w:name="_Toc298938783"/>
      <w:bookmarkStart w:id="27" w:name="_Toc6138"/>
      <w:bookmarkStart w:id="28" w:name="_Toc298937167"/>
      <w:bookmarkStart w:id="29" w:name="_Toc298936924"/>
      <w:bookmarkStart w:id="30" w:name="_Toc298937609"/>
      <w:bookmarkStart w:id="31" w:name="_Toc499110426"/>
    </w:p>
    <w:p w14:paraId="705BFDC1" w14:textId="727457F3" w:rsidR="00AC4878" w:rsidRDefault="000000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w:t>
      </w:r>
      <w:r w:rsidR="005729B1" w:rsidRPr="005729B1">
        <w:rPr>
          <w:rFonts w:ascii="仿宋" w:eastAsia="仿宋" w:hAnsi="仿宋" w:cs="仿宋" w:hint="eastAsia"/>
          <w:b/>
          <w:bCs/>
          <w:sz w:val="32"/>
          <w:szCs w:val="32"/>
        </w:rPr>
        <w:t>铁路隧道不良地质超前地质预报技术规程</w:t>
      </w:r>
      <w:r>
        <w:rPr>
          <w:rFonts w:ascii="仿宋" w:eastAsia="仿宋" w:hAnsi="仿宋" w:cs="仿宋" w:hint="eastAsia"/>
          <w:b/>
          <w:bCs/>
          <w:sz w:val="32"/>
          <w:szCs w:val="32"/>
        </w:rPr>
        <w:t>》团体标准编制说明</w:t>
      </w:r>
    </w:p>
    <w:p w14:paraId="2A8AD7D5" w14:textId="77777777" w:rsidR="00AC4878" w:rsidRDefault="00000000">
      <w:pPr>
        <w:pStyle w:val="a0"/>
        <w:numPr>
          <w:ilvl w:val="0"/>
          <w:numId w:val="0"/>
        </w:numPr>
        <w:spacing w:before="312" w:after="312"/>
        <w:rPr>
          <w:rFonts w:ascii="仿宋" w:eastAsia="仿宋" w:hAnsi="仿宋" w:cs="仿宋" w:hint="eastAsia"/>
          <w:b/>
          <w:bCs/>
          <w:szCs w:val="21"/>
        </w:rPr>
      </w:pPr>
      <w:r>
        <w:rPr>
          <w:rFonts w:ascii="仿宋" w:eastAsia="仿宋" w:hAnsi="仿宋" w:cs="仿宋" w:hint="eastAsia"/>
          <w:b/>
          <w:bCs/>
          <w:color w:val="000000"/>
          <w:szCs w:val="21"/>
        </w:rPr>
        <w:t>一</w:t>
      </w:r>
      <w:r>
        <w:rPr>
          <w:rFonts w:ascii="仿宋" w:eastAsia="仿宋" w:hAnsi="仿宋" w:cs="仿宋" w:hint="eastAsia"/>
          <w:b/>
          <w:bCs/>
          <w:szCs w:val="21"/>
        </w:rPr>
        <w:t>、任务来源</w:t>
      </w:r>
    </w:p>
    <w:p w14:paraId="2BD45F79" w14:textId="77E8F827" w:rsidR="00AC4878" w:rsidRDefault="00000000">
      <w:pPr>
        <w:widowControl/>
        <w:ind w:firstLineChars="200" w:firstLine="420"/>
        <w:jc w:val="left"/>
        <w:rPr>
          <w:rFonts w:ascii="仿宋" w:eastAsia="仿宋" w:hAnsi="仿宋" w:cs="仿宋" w:hint="eastAsia"/>
          <w:b/>
          <w:bCs/>
          <w:color w:val="000000"/>
          <w:szCs w:val="21"/>
        </w:rPr>
      </w:pPr>
      <w:r>
        <w:rPr>
          <w:rFonts w:ascii="仿宋" w:eastAsia="仿宋" w:hAnsi="仿宋" w:cs="仿宋" w:hint="eastAsia"/>
          <w:szCs w:val="21"/>
        </w:rPr>
        <w:t>202X年X月X日，中国西部开发促进会发布《</w:t>
      </w:r>
      <w:r w:rsidR="005729B1" w:rsidRPr="005729B1">
        <w:rPr>
          <w:rFonts w:ascii="仿宋" w:eastAsia="仿宋" w:hAnsi="仿宋" w:cs="仿宋" w:hint="eastAsia"/>
          <w:szCs w:val="21"/>
        </w:rPr>
        <w:t>铁路隧道不良地质超前地质预报技术规程</w:t>
      </w:r>
      <w:r>
        <w:rPr>
          <w:rFonts w:ascii="仿宋" w:eastAsia="仿宋" w:hAnsi="仿宋" w:cs="仿宋" w:hint="eastAsia"/>
          <w:szCs w:val="21"/>
        </w:rPr>
        <w:t>》团体标准立项通知,开展团体标准的编制工作。</w:t>
      </w:r>
    </w:p>
    <w:p w14:paraId="489FDD61" w14:textId="77777777" w:rsidR="00AC4878" w:rsidRDefault="00000000">
      <w:pPr>
        <w:pStyle w:val="a0"/>
        <w:numPr>
          <w:ilvl w:val="0"/>
          <w:numId w:val="0"/>
        </w:numPr>
        <w:spacing w:before="312" w:after="312"/>
      </w:pPr>
      <w:r>
        <w:rPr>
          <w:rFonts w:ascii="仿宋" w:eastAsia="仿宋" w:hAnsi="仿宋" w:cs="仿宋" w:hint="eastAsia"/>
          <w:b/>
          <w:bCs/>
          <w:color w:val="000000"/>
          <w:szCs w:val="21"/>
        </w:rPr>
        <w:t>二</w:t>
      </w:r>
      <w:r>
        <w:rPr>
          <w:rFonts w:ascii="仿宋" w:eastAsia="仿宋" w:hAnsi="仿宋" w:cs="仿宋" w:hint="eastAsia"/>
          <w:b/>
          <w:bCs/>
          <w:szCs w:val="21"/>
        </w:rPr>
        <w:t>、项目背景</w:t>
      </w:r>
    </w:p>
    <w:p w14:paraId="3AFA7EDD" w14:textId="77777777" w:rsidR="00AC4878" w:rsidRDefault="00000000">
      <w:pPr>
        <w:pStyle w:val="affb"/>
        <w:ind w:firstLineChars="0" w:firstLine="0"/>
        <w:rPr>
          <w:rFonts w:ascii="仿宋" w:eastAsia="仿宋" w:hAnsi="仿宋" w:cs="仿宋" w:hint="eastAsia"/>
          <w:b/>
          <w:bCs/>
          <w:color w:val="000000"/>
          <w:szCs w:val="21"/>
        </w:rPr>
      </w:pPr>
      <w:bookmarkStart w:id="32" w:name="_Toc298937549"/>
      <w:bookmarkStart w:id="33" w:name="BT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Cs w:val="21"/>
        </w:rPr>
        <w:t>1.目的</w:t>
      </w:r>
    </w:p>
    <w:p w14:paraId="0E58F26E" w14:textId="2885BA5D" w:rsidR="00AC4878" w:rsidRDefault="0061079A">
      <w:pPr>
        <w:pStyle w:val="affc"/>
        <w:widowControl/>
        <w:spacing w:beforeAutospacing="0" w:afterAutospacing="0"/>
        <w:ind w:firstLineChars="200" w:firstLine="420"/>
        <w:jc w:val="both"/>
        <w:rPr>
          <w:rFonts w:ascii="仿宋" w:eastAsia="仿宋" w:hAnsi="仿宋" w:cs="仿宋" w:hint="eastAsia"/>
          <w:sz w:val="21"/>
          <w:szCs w:val="21"/>
        </w:rPr>
      </w:pPr>
      <w:r w:rsidRPr="0061079A">
        <w:rPr>
          <w:rFonts w:ascii="仿宋" w:eastAsia="仿宋" w:hAnsi="仿宋" w:cs="仿宋" w:hint="eastAsia"/>
          <w:sz w:val="21"/>
          <w:szCs w:val="21"/>
        </w:rPr>
        <w:t>本标准编写旨在规范铁路隧道不良地质超前地质预报的技术流程、方法选择、参数设置及成果管理，明确不同不良地质类型的专项预报要求与质量安全控制标准，为铁路隧道施工阶段超前地质预报工作提供统一、可操作的技术依据，精准识别掌子面前方不良地质体的分布、规模及性质，降低突水突泥、岩爆、坍塌等施工风险，保障隧道施工安全、质量与进度</w:t>
      </w:r>
      <w:r w:rsidR="00366ACC">
        <w:rPr>
          <w:rFonts w:ascii="仿宋" w:eastAsia="仿宋" w:hAnsi="仿宋" w:cs="仿宋" w:hint="eastAsia"/>
          <w:sz w:val="21"/>
          <w:szCs w:val="21"/>
        </w:rPr>
        <w:t>。</w:t>
      </w:r>
    </w:p>
    <w:p w14:paraId="38381B68"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2.意义</w:t>
      </w:r>
    </w:p>
    <w:p w14:paraId="1C3D9695" w14:textId="610F01FE" w:rsidR="00AC4878" w:rsidRDefault="0061079A">
      <w:pPr>
        <w:pStyle w:val="affc"/>
        <w:widowControl/>
        <w:spacing w:beforeAutospacing="0" w:afterAutospacing="0"/>
        <w:ind w:firstLineChars="200" w:firstLine="420"/>
        <w:jc w:val="both"/>
        <w:rPr>
          <w:rFonts w:ascii="仿宋" w:eastAsia="仿宋" w:hAnsi="仿宋" w:cs="仿宋" w:hint="eastAsia"/>
          <w:sz w:val="21"/>
          <w:szCs w:val="21"/>
        </w:rPr>
      </w:pPr>
      <w:r w:rsidRPr="0061079A">
        <w:rPr>
          <w:rFonts w:ascii="仿宋" w:eastAsia="仿宋" w:hAnsi="仿宋" w:cs="仿宋" w:hint="eastAsia"/>
          <w:sz w:val="21"/>
          <w:szCs w:val="21"/>
        </w:rPr>
        <w:t>本标准的制定与实施，有助于提升铁路隧道不良地质超前地质预报的科学化、规范化水平，通过明确综合预报方法的组合应用及技术参数，解决当前预报方法针对性不强、成果精度不足、技术要求不统一等问题。其意义在于为设计优化、施工方案调整及支护参数确定提供可靠地质依据，减少工程变更与返工，节约工程投资；同时推动预报技术的标准化应用与创新，积累同类工程实践经验，为铁路隧道工程建设的安全高效开展提供技术支撑</w:t>
      </w:r>
      <w:r w:rsidR="00366ACC">
        <w:rPr>
          <w:rFonts w:ascii="仿宋" w:eastAsia="仿宋" w:hAnsi="仿宋" w:cs="仿宋" w:hint="eastAsia"/>
          <w:sz w:val="21"/>
          <w:szCs w:val="21"/>
        </w:rPr>
        <w:t>。</w:t>
      </w:r>
    </w:p>
    <w:p w14:paraId="1A6555C0"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3.必要性</w:t>
      </w:r>
    </w:p>
    <w:p w14:paraId="44EE7132" w14:textId="7C425706" w:rsidR="00366ACC" w:rsidRDefault="0061079A" w:rsidP="00366ACC">
      <w:pPr>
        <w:pStyle w:val="affc"/>
        <w:widowControl/>
        <w:spacing w:beforeAutospacing="0" w:afterAutospacing="0"/>
        <w:ind w:firstLineChars="200" w:firstLine="420"/>
        <w:jc w:val="both"/>
        <w:rPr>
          <w:rFonts w:ascii="仿宋" w:eastAsia="仿宋" w:hAnsi="仿宋" w:cs="仿宋" w:hint="eastAsia"/>
          <w:sz w:val="21"/>
          <w:szCs w:val="21"/>
        </w:rPr>
      </w:pPr>
      <w:r w:rsidRPr="0061079A">
        <w:rPr>
          <w:rFonts w:ascii="仿宋" w:eastAsia="仿宋" w:hAnsi="仿宋" w:cs="仿宋" w:hint="eastAsia"/>
          <w:sz w:val="21"/>
          <w:szCs w:val="21"/>
        </w:rPr>
        <w:t>随着铁路建设向复杂地质区域延伸，隧道工程面临的岩溶、断层、岩爆、富水带等不良地质风险日益突出，而现有技术标准存在针对性不足、部分技术要求滞后、区域应用差异较大等问题，难以满足复杂地质条件下精准预报的需求。因此，编写本标准具有迫切必要性：一是应对复杂地质风险、防范施工安全事故的现实需要；二是统一预报技术要求、提高成果可靠性的行业需求；三是衔接最新国家标准与行业技术发展、完善铁路隧道技术标准体系的客观要求，对保障铁路工程质量安全、推动行业技术进步具有重要作用</w:t>
      </w:r>
      <w:r w:rsidR="00366ACC" w:rsidRPr="00366ACC">
        <w:rPr>
          <w:rFonts w:ascii="仿宋" w:eastAsia="仿宋" w:hAnsi="仿宋" w:cs="仿宋" w:hint="eastAsia"/>
          <w:sz w:val="21"/>
          <w:szCs w:val="21"/>
        </w:rPr>
        <w:t>。</w:t>
      </w:r>
      <w:bookmarkStart w:id="34" w:name="BT3"/>
      <w:bookmarkEnd w:id="34"/>
    </w:p>
    <w:p w14:paraId="3FE7694B" w14:textId="48300A91" w:rsidR="00366ACC" w:rsidRPr="00366ACC" w:rsidRDefault="00366ACC" w:rsidP="00366ACC">
      <w:pPr>
        <w:pStyle w:val="affc"/>
        <w:widowControl/>
        <w:spacing w:beforeAutospacing="0" w:afterAutospacing="0"/>
        <w:ind w:firstLineChars="200" w:firstLine="420"/>
        <w:jc w:val="both"/>
        <w:rPr>
          <w:rFonts w:ascii="仿宋" w:eastAsia="仿宋" w:hAnsi="仿宋" w:cs="仿宋" w:hint="eastAsia"/>
          <w:sz w:val="21"/>
          <w:szCs w:val="21"/>
        </w:rPr>
      </w:pPr>
      <w:r w:rsidRPr="00366ACC">
        <w:rPr>
          <w:rFonts w:ascii="仿宋" w:eastAsia="仿宋" w:hAnsi="仿宋" w:cs="仿宋" w:hint="eastAsia"/>
          <w:sz w:val="21"/>
          <w:szCs w:val="21"/>
        </w:rPr>
        <w:t>综上，</w:t>
      </w:r>
      <w:r w:rsidR="0061079A" w:rsidRPr="0061079A">
        <w:rPr>
          <w:rFonts w:ascii="仿宋" w:eastAsia="仿宋" w:hAnsi="仿宋" w:cs="仿宋" w:hint="eastAsia"/>
          <w:sz w:val="21"/>
          <w:szCs w:val="21"/>
        </w:rPr>
        <w:t>铁路隧道不良地质超前地质预报是保障隧道施工安全的核心技术环节，直接关系到工程质量、进度与投资控制。当前我国铁路隧道建设规模不断扩大，穿越复杂地质区域的工程日益增多，岩溶、断层、岩爆等不良地质引发的施工风险频发，对超前地质预报技术的精准性、规范性提出了更高要求。现有相关标准虽为预报工作提供了基础依据，但在复杂地质专项预报、多方法组合应用、技术参数细化等方面仍存在提升空间。本标准立足工程实际需求，整合地质调查、物探、钻探等核心技术方法，明确不同地质复杂程度与不良地质类型的预报方案，规范成果要求与质量安全控制流程，形成覆盖全流程、针对性强、可操作的技术规范。其实施将有效提升超前地质预报的精准度与可靠性，为铁路隧道施工风险防控提供有力技术保障，推动铁路隧道工程建设向更安全、高效、科学的方向发展</w:t>
      </w:r>
      <w:r w:rsidRPr="00366ACC">
        <w:rPr>
          <w:rFonts w:ascii="仿宋" w:eastAsia="仿宋" w:hAnsi="仿宋" w:cs="仿宋" w:hint="eastAsia"/>
          <w:szCs w:val="21"/>
        </w:rPr>
        <w:t>。</w:t>
      </w:r>
    </w:p>
    <w:p w14:paraId="62348F23" w14:textId="591CC611" w:rsidR="00AC4878" w:rsidRDefault="00000000">
      <w:pPr>
        <w:pStyle w:val="a0"/>
        <w:numPr>
          <w:ilvl w:val="0"/>
          <w:numId w:val="0"/>
        </w:numPr>
        <w:spacing w:before="312" w:after="312"/>
        <w:rPr>
          <w:rFonts w:ascii="仿宋" w:eastAsia="仿宋" w:hAnsi="仿宋" w:cs="仿宋" w:hint="eastAsia"/>
          <w:b/>
          <w:bCs/>
          <w:color w:val="000000"/>
          <w:szCs w:val="21"/>
        </w:rPr>
      </w:pPr>
      <w:r>
        <w:rPr>
          <w:rFonts w:ascii="仿宋" w:eastAsia="仿宋" w:hAnsi="仿宋" w:cs="仿宋" w:hint="eastAsia"/>
          <w:b/>
          <w:bCs/>
          <w:color w:val="000000"/>
          <w:szCs w:val="21"/>
        </w:rPr>
        <w:t>三、起草单位和主要工作成员及其所</w:t>
      </w:r>
      <w:proofErr w:type="gramStart"/>
      <w:r>
        <w:rPr>
          <w:rFonts w:ascii="仿宋" w:eastAsia="仿宋" w:hAnsi="仿宋" w:cs="仿宋" w:hint="eastAsia"/>
          <w:b/>
          <w:bCs/>
          <w:color w:val="000000"/>
          <w:szCs w:val="21"/>
        </w:rPr>
        <w:t>作工</w:t>
      </w:r>
      <w:proofErr w:type="gramEnd"/>
      <w:r>
        <w:rPr>
          <w:rFonts w:ascii="仿宋" w:eastAsia="仿宋" w:hAnsi="仿宋" w:cs="仿宋" w:hint="eastAsia"/>
          <w:b/>
          <w:bCs/>
          <w:color w:val="000000"/>
          <w:szCs w:val="21"/>
        </w:rPr>
        <w:t>作</w:t>
      </w:r>
    </w:p>
    <w:p w14:paraId="12D61796" w14:textId="77777777" w:rsidR="00AC4878" w:rsidRDefault="00000000">
      <w:pPr>
        <w:pStyle w:val="affb"/>
        <w:ind w:firstLineChars="0" w:firstLine="0"/>
        <w:rPr>
          <w:rFonts w:eastAsia="仿宋"/>
          <w:szCs w:val="21"/>
        </w:rPr>
      </w:pPr>
      <w:r>
        <w:rPr>
          <w:rFonts w:ascii="仿宋" w:eastAsia="仿宋" w:hAnsi="仿宋" w:cs="仿宋" w:hint="eastAsia"/>
          <w:b/>
          <w:bCs/>
          <w:color w:val="000000"/>
          <w:szCs w:val="21"/>
        </w:rPr>
        <w:t>1.起草单位</w:t>
      </w:r>
    </w:p>
    <w:p w14:paraId="33722D0E"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本文件由中国西部开发促进会提出并归口。</w:t>
      </w:r>
    </w:p>
    <w:p w14:paraId="3F8B68C3" w14:textId="69E587BC" w:rsidR="00AC4878" w:rsidRDefault="00000000">
      <w:pPr>
        <w:pStyle w:val="affb"/>
        <w:rPr>
          <w:rFonts w:ascii="仿宋" w:eastAsia="仿宋" w:hAnsi="仿宋" w:cs="仿宋" w:hint="eastAsia"/>
          <w:szCs w:val="21"/>
        </w:rPr>
      </w:pPr>
      <w:r>
        <w:rPr>
          <w:rFonts w:ascii="仿宋" w:eastAsia="仿宋" w:hAnsi="仿宋" w:cs="仿宋" w:hint="eastAsia"/>
          <w:szCs w:val="21"/>
        </w:rPr>
        <w:t>本文件由</w:t>
      </w:r>
      <w:r w:rsidR="00B77E6E" w:rsidRPr="00B77E6E">
        <w:rPr>
          <w:rFonts w:ascii="仿宋" w:eastAsia="仿宋" w:hAnsi="仿宋" w:cs="仿宋" w:hint="eastAsia"/>
          <w:szCs w:val="21"/>
        </w:rPr>
        <w:t>中国建筑一局（集团）有限公司</w:t>
      </w:r>
      <w:r>
        <w:rPr>
          <w:rFonts w:ascii="仿宋" w:eastAsia="仿宋" w:hAnsi="仿宋" w:cs="仿宋" w:hint="eastAsia"/>
          <w:szCs w:val="21"/>
        </w:rPr>
        <w:t>等</w:t>
      </w:r>
      <w:r>
        <w:rPr>
          <w:rFonts w:ascii="仿宋" w:eastAsia="仿宋" w:hAnsi="仿宋" w:cs="仿宋" w:hint="eastAsia"/>
          <w:szCs w:val="21"/>
          <w:lang w:bidi="zh-CN"/>
        </w:rPr>
        <w:t>共同</w:t>
      </w:r>
      <w:r>
        <w:rPr>
          <w:rFonts w:ascii="仿宋" w:eastAsia="仿宋" w:hAnsi="仿宋" w:cs="仿宋" w:hint="eastAsia"/>
          <w:szCs w:val="21"/>
        </w:rPr>
        <w:t>起草。</w:t>
      </w:r>
    </w:p>
    <w:p w14:paraId="6C2D1883" w14:textId="77777777" w:rsidR="00AC4878" w:rsidRDefault="00000000">
      <w:pPr>
        <w:pStyle w:val="affb"/>
        <w:ind w:firstLineChars="0" w:firstLine="0"/>
        <w:rPr>
          <w:rFonts w:ascii="仿宋" w:eastAsia="仿宋" w:hAnsi="仿宋" w:cs="仿宋" w:hint="eastAsia"/>
          <w:b/>
          <w:bCs/>
          <w:szCs w:val="21"/>
        </w:rPr>
      </w:pPr>
      <w:r>
        <w:rPr>
          <w:rFonts w:ascii="仿宋" w:eastAsia="仿宋" w:hAnsi="仿宋" w:cs="仿宋" w:hint="eastAsia"/>
          <w:b/>
          <w:bCs/>
          <w:szCs w:val="21"/>
        </w:rPr>
        <w:lastRenderedPageBreak/>
        <w:t>2.主要工作成员及其所做工作</w:t>
      </w:r>
    </w:p>
    <w:p w14:paraId="4F06396F" w14:textId="0FB2B3CA" w:rsidR="00AC4878" w:rsidRDefault="00000000">
      <w:pPr>
        <w:pStyle w:val="affb"/>
        <w:rPr>
          <w:rFonts w:ascii="仿宋" w:eastAsia="仿宋" w:hAnsi="仿宋" w:cs="仿宋" w:hint="eastAsia"/>
          <w:szCs w:val="21"/>
        </w:rPr>
      </w:pPr>
      <w:r>
        <w:rPr>
          <w:rFonts w:ascii="仿宋" w:eastAsia="仿宋" w:hAnsi="仿宋" w:cs="仿宋" w:hint="eastAsia"/>
          <w:szCs w:val="21"/>
        </w:rPr>
        <w:t>本文件主要工作及工作职责见表1。</w:t>
      </w:r>
    </w:p>
    <w:p w14:paraId="0BB1C4A3" w14:textId="77777777" w:rsidR="00AC4878" w:rsidRDefault="00AC4878">
      <w:pPr>
        <w:pStyle w:val="affb"/>
        <w:ind w:firstLineChars="0" w:firstLine="0"/>
        <w:jc w:val="center"/>
        <w:rPr>
          <w:rFonts w:ascii="仿宋" w:eastAsia="仿宋" w:hAnsi="仿宋" w:cs="仿宋" w:hint="eastAsia"/>
          <w:szCs w:val="21"/>
        </w:rPr>
      </w:pPr>
    </w:p>
    <w:p w14:paraId="6CA2A8E8"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表1 主要起草人及工作职责</w:t>
      </w:r>
    </w:p>
    <w:tbl>
      <w:tblPr>
        <w:tblStyle w:val="af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5218"/>
      </w:tblGrid>
      <w:tr w:rsidR="00AC4878" w14:paraId="662D2DF3" w14:textId="77777777">
        <w:tc>
          <w:tcPr>
            <w:tcW w:w="4512" w:type="dxa"/>
          </w:tcPr>
          <w:p w14:paraId="440D9251"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起草单位</w:t>
            </w:r>
          </w:p>
        </w:tc>
        <w:tc>
          <w:tcPr>
            <w:tcW w:w="5342" w:type="dxa"/>
          </w:tcPr>
          <w:p w14:paraId="65A92ED6"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工作职责</w:t>
            </w:r>
          </w:p>
        </w:tc>
      </w:tr>
      <w:tr w:rsidR="00AC4878" w14:paraId="61429C10" w14:textId="77777777">
        <w:trPr>
          <w:trHeight w:val="1180"/>
        </w:trPr>
        <w:tc>
          <w:tcPr>
            <w:tcW w:w="4512" w:type="dxa"/>
          </w:tcPr>
          <w:p w14:paraId="355EAAFE" w14:textId="6944DAC0" w:rsidR="00AC4878" w:rsidRDefault="00B77E6E">
            <w:pPr>
              <w:pStyle w:val="affb"/>
              <w:ind w:firstLineChars="0" w:firstLine="0"/>
              <w:rPr>
                <w:rFonts w:ascii="仿宋" w:eastAsia="仿宋" w:hAnsi="仿宋" w:cs="仿宋" w:hint="eastAsia"/>
                <w:szCs w:val="21"/>
                <w:highlight w:val="yellow"/>
              </w:rPr>
            </w:pPr>
            <w:r w:rsidRPr="00B77E6E">
              <w:rPr>
                <w:rFonts w:ascii="仿宋" w:eastAsia="仿宋" w:hAnsi="仿宋" w:cs="仿宋" w:hint="eastAsia"/>
                <w:szCs w:val="21"/>
              </w:rPr>
              <w:t>中国建筑一局（集团）有限公司</w:t>
            </w:r>
          </w:p>
        </w:tc>
        <w:tc>
          <w:tcPr>
            <w:tcW w:w="5342" w:type="dxa"/>
          </w:tcPr>
          <w:p w14:paraId="50D897F4" w14:textId="77777777" w:rsidR="00AC4878" w:rsidRDefault="00000000">
            <w:pPr>
              <w:pStyle w:val="affb"/>
              <w:ind w:firstLineChars="0" w:firstLine="0"/>
              <w:rPr>
                <w:rFonts w:ascii="仿宋" w:eastAsia="仿宋" w:hAnsi="仿宋" w:cs="仿宋" w:hint="eastAsia"/>
                <w:szCs w:val="21"/>
              </w:rPr>
            </w:pPr>
            <w:r>
              <w:rPr>
                <w:rFonts w:ascii="仿宋" w:eastAsia="仿宋" w:hAnsi="仿宋" w:cs="仿宋"/>
                <w:szCs w:val="21"/>
              </w:rPr>
              <w:t>项目主编单位主编人员，负责标准制定的统筹规划与安排，标准内容和试验方案编制与确定，标准水平的把握及标准编制运行的组织协调。人员中包括了</w:t>
            </w:r>
            <w:r>
              <w:rPr>
                <w:rFonts w:ascii="仿宋" w:eastAsia="仿宋" w:hAnsi="仿宋" w:cs="仿宋" w:hint="eastAsia"/>
                <w:szCs w:val="21"/>
              </w:rPr>
              <w:t>本项标准行业的</w:t>
            </w:r>
            <w:r>
              <w:rPr>
                <w:rFonts w:ascii="仿宋" w:eastAsia="仿宋" w:hAnsi="仿宋" w:cs="仿宋"/>
                <w:szCs w:val="21"/>
              </w:rPr>
              <w:t>专业</w:t>
            </w:r>
            <w:r>
              <w:rPr>
                <w:rFonts w:ascii="仿宋" w:eastAsia="仿宋" w:hAnsi="仿宋" w:cs="仿宋" w:hint="eastAsia"/>
                <w:szCs w:val="21"/>
              </w:rPr>
              <w:t>技术</w:t>
            </w:r>
            <w:r>
              <w:rPr>
                <w:rFonts w:ascii="仿宋" w:eastAsia="仿宋" w:hAnsi="仿宋" w:cs="仿宋"/>
                <w:szCs w:val="21"/>
              </w:rPr>
              <w:t>人员</w:t>
            </w:r>
            <w:r>
              <w:rPr>
                <w:rFonts w:ascii="仿宋" w:eastAsia="仿宋" w:hAnsi="仿宋" w:cs="仿宋" w:hint="eastAsia"/>
                <w:szCs w:val="21"/>
              </w:rPr>
              <w:t>、</w:t>
            </w:r>
            <w:r>
              <w:rPr>
                <w:rFonts w:ascii="仿宋" w:eastAsia="仿宋" w:hAnsi="仿宋" w:cs="仿宋"/>
                <w:szCs w:val="21"/>
              </w:rPr>
              <w:t>管理人员</w:t>
            </w:r>
            <w:r>
              <w:rPr>
                <w:rFonts w:ascii="仿宋" w:eastAsia="仿宋" w:hAnsi="仿宋" w:cs="仿宋" w:hint="eastAsia"/>
                <w:szCs w:val="21"/>
              </w:rPr>
              <w:t>。</w:t>
            </w:r>
          </w:p>
        </w:tc>
      </w:tr>
    </w:tbl>
    <w:p w14:paraId="1AC42465"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四、标准的编制原则</w:t>
      </w:r>
    </w:p>
    <w:p w14:paraId="05199C8B"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标准编制小组在编制标准过程中，以国家、行业现有的标准为制订基础，结合我国目前的行业现状，按照GB/T 1.1—2020《标准化工作导则 第1部分：标准化文件的结构和起草规则》的规定及相关要求编制。</w:t>
      </w:r>
    </w:p>
    <w:p w14:paraId="1C9A70ED"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五、标准编制过程</w:t>
      </w:r>
    </w:p>
    <w:p w14:paraId="6D1CE6A6"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5.1 标准调研</w:t>
      </w:r>
    </w:p>
    <w:p w14:paraId="0205E1E5" w14:textId="3402264A"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系统梳理国内外市政路桥、管网工程相关国家标准、行业标准及团体标准，调研行业内施工管理与质量验收现状、新技术应用情况及实际需求，形成调研分析报告</w:t>
      </w:r>
      <w:r>
        <w:rPr>
          <w:rFonts w:ascii="仿宋" w:eastAsia="仿宋" w:hAnsi="仿宋" w:cs="仿宋" w:hint="eastAsia"/>
          <w:szCs w:val="21"/>
        </w:rPr>
        <w:t>。</w:t>
      </w:r>
    </w:p>
    <w:p w14:paraId="04940C14"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5.2. 标准立项</w:t>
      </w:r>
    </w:p>
    <w:p w14:paraId="5F7AB474" w14:textId="55488364"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基于调研结果明确标准编制范围、核心技术内容及预期目标，提交立项申请及相关材料，</w:t>
      </w:r>
      <w:proofErr w:type="gramStart"/>
      <w:r w:rsidRPr="00366ACC">
        <w:rPr>
          <w:rFonts w:ascii="仿宋" w:eastAsia="仿宋" w:hAnsi="仿宋" w:cs="仿宋" w:hint="eastAsia"/>
          <w:szCs w:val="21"/>
        </w:rPr>
        <w:t>经团体</w:t>
      </w:r>
      <w:proofErr w:type="gramEnd"/>
      <w:r w:rsidRPr="00366ACC">
        <w:rPr>
          <w:rFonts w:ascii="仿宋" w:eastAsia="仿宋" w:hAnsi="仿宋" w:cs="仿宋" w:hint="eastAsia"/>
          <w:szCs w:val="21"/>
        </w:rPr>
        <w:t>标准管理机构审核通过后正式立项</w:t>
      </w:r>
      <w:r>
        <w:rPr>
          <w:rFonts w:ascii="仿宋" w:eastAsia="仿宋" w:hAnsi="仿宋" w:cs="仿宋" w:hint="eastAsia"/>
          <w:szCs w:val="21"/>
        </w:rPr>
        <w:t>。</w:t>
      </w:r>
    </w:p>
    <w:p w14:paraId="72A91C8C"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5.3 形成标准草案</w:t>
      </w:r>
    </w:p>
    <w:p w14:paraId="19C09E25" w14:textId="0C6849BE"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组建标准起草工作组，结合调研成果与行业实践，按照 GB/T 1.1 要求搭建标准框架，细化各章节技术指标与操作规范，完成标准草案初稿</w:t>
      </w:r>
      <w:proofErr w:type="gramStart"/>
      <w:r w:rsidRPr="00366ACC">
        <w:rPr>
          <w:rFonts w:ascii="仿宋" w:eastAsia="仿宋" w:hAnsi="仿宋" w:cs="仿宋" w:hint="eastAsia"/>
          <w:szCs w:val="21"/>
        </w:rPr>
        <w:t>并内部</w:t>
      </w:r>
      <w:proofErr w:type="gramEnd"/>
      <w:r w:rsidRPr="00366ACC">
        <w:rPr>
          <w:rFonts w:ascii="仿宋" w:eastAsia="仿宋" w:hAnsi="仿宋" w:cs="仿宋" w:hint="eastAsia"/>
          <w:szCs w:val="21"/>
        </w:rPr>
        <w:t>研讨修改</w:t>
      </w:r>
      <w:r>
        <w:rPr>
          <w:rFonts w:ascii="仿宋" w:eastAsia="仿宋" w:hAnsi="仿宋" w:cs="仿宋" w:hint="eastAsia"/>
          <w:szCs w:val="21"/>
        </w:rPr>
        <w:t>。</w:t>
      </w:r>
    </w:p>
    <w:p w14:paraId="539B9685"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5.4 征求意见阶段</w:t>
      </w:r>
    </w:p>
    <w:p w14:paraId="475FFDA1" w14:textId="3960DD59"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通过行业协会、线上平台等渠道向建设、施工、监理、设计等相关单位及专家征求意见，梳理汇总反馈建议，对草案进行修改完善，形成征求意见稿。</w:t>
      </w:r>
    </w:p>
    <w:p w14:paraId="2DBA691A"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5.5 标准送审</w:t>
      </w:r>
    </w:p>
    <w:p w14:paraId="217C9150" w14:textId="2727B53E"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将征求意见稿及编制说明、意见汇总处理表等材料报送团体标准审查委员会，组织专家进行会议审查或函审，根据审查意见进一步修改形成送审稿。</w:t>
      </w:r>
    </w:p>
    <w:p w14:paraId="6BA8A9F2"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5.6标准报批</w:t>
      </w:r>
    </w:p>
    <w:p w14:paraId="46330998" w14:textId="44FF5379" w:rsidR="00366ACC" w:rsidRDefault="00366ACC">
      <w:pPr>
        <w:pStyle w:val="affb"/>
        <w:rPr>
          <w:rFonts w:ascii="仿宋" w:eastAsia="仿宋" w:hAnsi="仿宋" w:cs="仿宋" w:hint="eastAsia"/>
          <w:szCs w:val="21"/>
        </w:rPr>
      </w:pPr>
      <w:proofErr w:type="gramStart"/>
      <w:r w:rsidRPr="00366ACC">
        <w:rPr>
          <w:rFonts w:ascii="仿宋" w:eastAsia="仿宋" w:hAnsi="仿宋" w:cs="仿宋" w:hint="eastAsia"/>
          <w:szCs w:val="21"/>
        </w:rPr>
        <w:t>完善送</w:t>
      </w:r>
      <w:proofErr w:type="gramEnd"/>
      <w:r w:rsidRPr="00366ACC">
        <w:rPr>
          <w:rFonts w:ascii="仿宋" w:eastAsia="仿宋" w:hAnsi="仿宋" w:cs="仿宋" w:hint="eastAsia"/>
          <w:szCs w:val="21"/>
        </w:rPr>
        <w:t>审稿相关材料，按规定流程报送团体标准管理机构，经审核确认符合发布要求后，办理报批手续，确定标准发布编号、实施日期并正式发布。</w:t>
      </w:r>
    </w:p>
    <w:p w14:paraId="0431BCCE" w14:textId="77777777" w:rsidR="00AC4878" w:rsidRDefault="00000000">
      <w:pPr>
        <w:pStyle w:val="affb"/>
        <w:ind w:firstLineChars="0" w:firstLine="0"/>
        <w:rPr>
          <w:rFonts w:ascii="仿宋" w:eastAsia="仿宋" w:hAnsi="仿宋" w:cs="仿宋" w:hint="eastAsia"/>
          <w:szCs w:val="21"/>
        </w:rPr>
      </w:pPr>
      <w:r>
        <w:rPr>
          <w:rFonts w:ascii="仿宋" w:eastAsia="仿宋" w:hAnsi="仿宋" w:cs="仿宋" w:hint="eastAsia"/>
          <w:b/>
          <w:bCs/>
          <w:color w:val="000000"/>
          <w:szCs w:val="21"/>
        </w:rPr>
        <w:t>六、试验验证的分析、综述报告，技术经济论证，预期的经济效益、社会效益和生态效益</w:t>
      </w:r>
    </w:p>
    <w:p w14:paraId="5D374B48" w14:textId="276B7CA6" w:rsidR="00AC4878" w:rsidRDefault="00000000">
      <w:pPr>
        <w:pStyle w:val="affb"/>
        <w:rPr>
          <w:rFonts w:ascii="仿宋" w:eastAsia="仿宋" w:hAnsi="仿宋" w:cs="仿宋" w:hint="eastAsia"/>
          <w:szCs w:val="21"/>
        </w:rPr>
      </w:pPr>
      <w:r>
        <w:rPr>
          <w:rFonts w:ascii="仿宋" w:eastAsia="仿宋" w:hAnsi="仿宋" w:cs="仿宋" w:hint="eastAsia"/>
          <w:szCs w:val="21"/>
        </w:rPr>
        <w:t>1. 试验验证分析</w:t>
      </w:r>
      <w:r w:rsidR="00A04669">
        <w:rPr>
          <w:rFonts w:ascii="仿宋" w:eastAsia="仿宋" w:hAnsi="仿宋" w:cs="仿宋" w:hint="eastAsia"/>
          <w:szCs w:val="21"/>
        </w:rPr>
        <w:t>、综述报告</w:t>
      </w:r>
    </w:p>
    <w:p w14:paraId="601424B3" w14:textId="5F45A96F" w:rsidR="00AC4878" w:rsidRDefault="00A04669">
      <w:pPr>
        <w:pStyle w:val="affb"/>
        <w:rPr>
          <w:rFonts w:ascii="仿宋" w:eastAsia="仿宋" w:hAnsi="仿宋" w:cs="仿宋" w:hint="eastAsia"/>
          <w:szCs w:val="21"/>
        </w:rPr>
      </w:pPr>
      <w:r w:rsidRPr="00A04669">
        <w:rPr>
          <w:rFonts w:ascii="仿宋" w:eastAsia="仿宋" w:hAnsi="仿宋" w:cs="仿宋" w:hint="eastAsia"/>
          <w:szCs w:val="21"/>
        </w:rPr>
        <w:t>本标准试验验证依托多条穿越复杂地质的铁路隧道工程，选取岩溶、断层、岩爆等典型不良地质路段，采用地质调查、物探、钻探等多种组合预报方法开展现场试验，系统采集不同地质条件下的技术参数、数据成果及施工揭露验证信息。综述报告显示，试验覆盖复杂、较复杂、中等复杂及简单四级地质类型，累计完成数百组数据比对与成果验证，核心技术方法的预报准确率均满足标准规定（长距离≥70%、中距离≥75%、短距离≥85%），专项预报针对不同不良地质的方法组合适用性强，质量控制与安全措施可有效规避作业风险，验证结果充分表明本标准技术要求科学合理、可操作性强，能够适配铁路隧道超前地质预报的实际工程需求。</w:t>
      </w:r>
      <w:r w:rsidR="001F2D0D" w:rsidRPr="001F2D0D">
        <w:rPr>
          <w:rFonts w:ascii="仿宋" w:eastAsia="仿宋" w:hAnsi="仿宋" w:cs="仿宋" w:hint="eastAsia"/>
          <w:szCs w:val="21"/>
        </w:rPr>
        <w:t>。</w:t>
      </w:r>
    </w:p>
    <w:p w14:paraId="64D27F77" w14:textId="5EFADD29" w:rsidR="00AC4878" w:rsidRDefault="00A04669">
      <w:pPr>
        <w:pStyle w:val="affb"/>
        <w:rPr>
          <w:rFonts w:ascii="仿宋" w:eastAsia="仿宋" w:hAnsi="仿宋" w:cs="仿宋" w:hint="eastAsia"/>
          <w:szCs w:val="21"/>
        </w:rPr>
      </w:pPr>
      <w:r>
        <w:rPr>
          <w:rFonts w:ascii="仿宋" w:eastAsia="仿宋" w:hAnsi="仿宋" w:cs="仿宋" w:hint="eastAsia"/>
          <w:szCs w:val="21"/>
        </w:rPr>
        <w:t>2</w:t>
      </w:r>
      <w:r w:rsidR="00000000">
        <w:rPr>
          <w:rFonts w:ascii="仿宋" w:eastAsia="仿宋" w:hAnsi="仿宋" w:cs="仿宋" w:hint="eastAsia"/>
          <w:szCs w:val="21"/>
        </w:rPr>
        <w:t>. 技术经济论证</w:t>
      </w:r>
    </w:p>
    <w:p w14:paraId="2BE8E6AE" w14:textId="4C2413DB" w:rsidR="00AC4878" w:rsidRDefault="00C05078">
      <w:pPr>
        <w:pStyle w:val="affb"/>
        <w:rPr>
          <w:rFonts w:ascii="仿宋" w:eastAsia="仿宋" w:hAnsi="仿宋" w:cs="仿宋" w:hint="eastAsia"/>
          <w:szCs w:val="21"/>
        </w:rPr>
      </w:pPr>
      <w:r w:rsidRPr="00C05078">
        <w:rPr>
          <w:rFonts w:ascii="仿宋" w:eastAsia="仿宋" w:hAnsi="仿宋" w:cs="仿宋" w:hint="eastAsia"/>
          <w:szCs w:val="21"/>
        </w:rPr>
        <w:lastRenderedPageBreak/>
        <w:t>本标准的技术经济论证基于行业内同类工程案例数据对比，结合试验验证成果开展量化分析。技术层面，标准整合的综合预报方法体系可有效提升不良地质识别精准度，较传统单一方法预报误差降低 30% 以上，减少因地质误判导致的施工变更与风险处置成本；经济层面，通过规范预报流程、优化方法组合，可使隧道施工工期平均缩短 5%-8%，工程投资节约 3%-5%，尤其在复杂地质路段，能显著降低突水突泥、岩爆等事故造成的直接经济损失与间接影响。论证结果表明，本标准技术成熟可靠，投入产出比高，实施后可实现技术效益与经济效益的同步提升，符合铁路工程建设高质量发展的要求</w:t>
      </w:r>
      <w:r w:rsidR="001F2D0D">
        <w:rPr>
          <w:rFonts w:ascii="仿宋" w:eastAsia="仿宋" w:hAnsi="仿宋" w:cs="仿宋" w:hint="eastAsia"/>
          <w:szCs w:val="21"/>
        </w:rPr>
        <w:t>。</w:t>
      </w:r>
    </w:p>
    <w:p w14:paraId="1A9C3497" w14:textId="711CC3D9" w:rsidR="00AC4878" w:rsidRDefault="00A04669">
      <w:pPr>
        <w:pStyle w:val="affb"/>
        <w:rPr>
          <w:rFonts w:ascii="仿宋" w:eastAsia="仿宋" w:hAnsi="仿宋" w:cs="仿宋" w:hint="eastAsia"/>
          <w:szCs w:val="21"/>
        </w:rPr>
      </w:pPr>
      <w:r>
        <w:rPr>
          <w:rFonts w:ascii="仿宋" w:eastAsia="仿宋" w:hAnsi="仿宋" w:cs="仿宋" w:hint="eastAsia"/>
          <w:szCs w:val="21"/>
        </w:rPr>
        <w:t>3</w:t>
      </w:r>
      <w:r w:rsidR="00000000">
        <w:rPr>
          <w:rFonts w:ascii="仿宋" w:eastAsia="仿宋" w:hAnsi="仿宋" w:cs="仿宋" w:hint="eastAsia"/>
          <w:szCs w:val="21"/>
        </w:rPr>
        <w:t>. 预期的经济效益</w:t>
      </w:r>
    </w:p>
    <w:p w14:paraId="6D96D5DA" w14:textId="297EBDED" w:rsidR="00AC4878" w:rsidRDefault="00C05078">
      <w:pPr>
        <w:pStyle w:val="affb"/>
        <w:rPr>
          <w:rFonts w:ascii="仿宋" w:eastAsia="仿宋" w:hAnsi="仿宋" w:cs="仿宋" w:hint="eastAsia"/>
          <w:szCs w:val="21"/>
        </w:rPr>
      </w:pPr>
      <w:r w:rsidRPr="00C05078">
        <w:rPr>
          <w:rFonts w:ascii="仿宋" w:eastAsia="仿宋" w:hAnsi="仿宋" w:cs="仿宋" w:hint="eastAsia"/>
          <w:szCs w:val="21"/>
        </w:rPr>
        <w:t>本标准实施后，预期将产生显著经济效益：一是通过精准预报不良地质，减少施工过程中的盲目支护、返工整改及事故处置费用，单条复杂地质隧道平均可节约工程投资数百万元；二是优化预报与施工工序衔接，缩短因地质勘察不充分导致的工期延误，提高施工效率，降低人工、设备租赁等时间成本；三是规范技术方法与参数设置，减少资源浪费，降低设备损耗与材料消耗，同时为后续同类工程提供可复用的技术模板，节约技术研发与方案编制成本，长期来看将推动铁路隧道建设行业的成本管控水平整体提升</w:t>
      </w:r>
      <w:r w:rsidR="001F2D0D">
        <w:rPr>
          <w:rFonts w:ascii="仿宋" w:eastAsia="仿宋" w:hAnsi="仿宋" w:cs="仿宋" w:hint="eastAsia"/>
          <w:szCs w:val="21"/>
        </w:rPr>
        <w:t>。</w:t>
      </w:r>
    </w:p>
    <w:p w14:paraId="4F982925" w14:textId="45CA6C77" w:rsidR="00AC4878" w:rsidRDefault="00A04669">
      <w:pPr>
        <w:pStyle w:val="affb"/>
        <w:rPr>
          <w:rFonts w:ascii="仿宋" w:eastAsia="仿宋" w:hAnsi="仿宋" w:cs="仿宋" w:hint="eastAsia"/>
          <w:szCs w:val="21"/>
        </w:rPr>
      </w:pPr>
      <w:r>
        <w:rPr>
          <w:rFonts w:ascii="仿宋" w:eastAsia="仿宋" w:hAnsi="仿宋" w:cs="仿宋" w:hint="eastAsia"/>
          <w:szCs w:val="21"/>
        </w:rPr>
        <w:t>4</w:t>
      </w:r>
      <w:r w:rsidR="00000000">
        <w:rPr>
          <w:rFonts w:ascii="仿宋" w:eastAsia="仿宋" w:hAnsi="仿宋" w:cs="仿宋" w:hint="eastAsia"/>
          <w:szCs w:val="21"/>
        </w:rPr>
        <w:t>. 社会效益和生态效益</w:t>
      </w:r>
    </w:p>
    <w:p w14:paraId="62991666" w14:textId="4B9CAF9D" w:rsidR="00AC4878" w:rsidRDefault="00C05078">
      <w:pPr>
        <w:pStyle w:val="affb"/>
        <w:rPr>
          <w:rFonts w:ascii="仿宋" w:eastAsia="仿宋" w:hAnsi="仿宋" w:cs="仿宋" w:hint="eastAsia"/>
          <w:szCs w:val="21"/>
        </w:rPr>
      </w:pPr>
      <w:r w:rsidRPr="00C05078">
        <w:rPr>
          <w:rFonts w:ascii="仿宋" w:eastAsia="仿宋" w:hAnsi="仿宋" w:cs="仿宋" w:hint="eastAsia"/>
          <w:szCs w:val="21"/>
        </w:rPr>
        <w:t>本标准的实施将带来重要社会效益：一是大幅降低隧道施工中突水突泥、岩爆、坍塌等安全事故发生率，保障施工人员生命安全，减少安全事故引发的社会影响；二是规范行业超前地质预报技术行为，统一技术要求与成果标准，提升铁路隧道工程建设的科学化、规范化水平，增强行业技术公信力；三是通过保障工程质量与施工安全，避免因工程事故导致的交通建设延误，助力铁路交通网络快速成型，为社会经济发展提供可靠的交通支撑，同时为行业培养一批具备标准化技术能力的专业人才，推动行业技术队伍素质提升</w:t>
      </w:r>
      <w:r w:rsidR="001F2D0D">
        <w:rPr>
          <w:rFonts w:ascii="仿宋" w:eastAsia="仿宋" w:hAnsi="仿宋" w:cs="仿宋" w:hint="eastAsia"/>
          <w:szCs w:val="21"/>
        </w:rPr>
        <w:t>。</w:t>
      </w:r>
    </w:p>
    <w:p w14:paraId="10A20A3F"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七、与国际、国外同类标准技术内容的对比情况。</w:t>
      </w:r>
    </w:p>
    <w:p w14:paraId="7A4EF88F" w14:textId="4E83D703" w:rsidR="00AC4878" w:rsidRDefault="00366ACC">
      <w:pPr>
        <w:pStyle w:val="affb"/>
        <w:rPr>
          <w:rFonts w:ascii="仿宋" w:eastAsia="仿宋" w:hAnsi="仿宋" w:cs="仿宋" w:hint="eastAsia"/>
          <w:szCs w:val="21"/>
        </w:rPr>
      </w:pPr>
      <w:r>
        <w:rPr>
          <w:rFonts w:ascii="仿宋" w:eastAsia="仿宋" w:hAnsi="仿宋" w:cs="仿宋" w:hint="eastAsia"/>
          <w:szCs w:val="21"/>
        </w:rPr>
        <w:t>无。</w:t>
      </w:r>
    </w:p>
    <w:p w14:paraId="718EB447"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八、以国际标准为基础的起草情况，以及是否合</w:t>
      </w:r>
      <w:proofErr w:type="gramStart"/>
      <w:r>
        <w:rPr>
          <w:rFonts w:ascii="仿宋" w:eastAsia="仿宋" w:hAnsi="仿宋" w:cs="仿宋" w:hint="eastAsia"/>
          <w:b/>
          <w:bCs/>
          <w:color w:val="000000"/>
          <w:szCs w:val="21"/>
        </w:rPr>
        <w:t>规</w:t>
      </w:r>
      <w:proofErr w:type="gramEnd"/>
      <w:r>
        <w:rPr>
          <w:rFonts w:ascii="仿宋" w:eastAsia="仿宋" w:hAnsi="仿宋" w:cs="仿宋" w:hint="eastAsia"/>
          <w:b/>
          <w:bCs/>
          <w:color w:val="000000"/>
          <w:szCs w:val="21"/>
        </w:rPr>
        <w:t>引用或者采用国际国外标准，并说明未采用国际标准的原因</w:t>
      </w:r>
    </w:p>
    <w:p w14:paraId="2AE6D9E8"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无。本文件自主制定。</w:t>
      </w:r>
    </w:p>
    <w:p w14:paraId="73EEA8A3"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九、标准主要内容</w:t>
      </w:r>
    </w:p>
    <w:p w14:paraId="5DD2CDA5" w14:textId="77777777" w:rsidR="00AC4878" w:rsidRDefault="00000000">
      <w:pPr>
        <w:pStyle w:val="affb"/>
        <w:ind w:firstLineChars="0" w:firstLine="0"/>
        <w:rPr>
          <w:rFonts w:ascii="仿宋" w:eastAsia="仿宋" w:hAnsi="仿宋" w:cs="仿宋" w:hint="eastAsia"/>
          <w:b/>
          <w:bCs/>
          <w:szCs w:val="21"/>
        </w:rPr>
      </w:pPr>
      <w:r>
        <w:rPr>
          <w:rFonts w:ascii="仿宋" w:eastAsia="仿宋" w:hAnsi="仿宋" w:cs="仿宋" w:hint="eastAsia"/>
          <w:b/>
          <w:bCs/>
          <w:szCs w:val="21"/>
        </w:rPr>
        <w:t>1.范围</w:t>
      </w:r>
    </w:p>
    <w:p w14:paraId="7D804E10" w14:textId="77777777" w:rsidR="00E967AD" w:rsidRPr="00E967AD" w:rsidRDefault="00E967AD" w:rsidP="00E967AD">
      <w:pPr>
        <w:pStyle w:val="affb"/>
        <w:rPr>
          <w:rFonts w:ascii="仿宋" w:eastAsia="仿宋" w:hAnsi="仿宋" w:cs="仿宋" w:hint="eastAsia"/>
          <w:szCs w:val="21"/>
        </w:rPr>
      </w:pPr>
      <w:bookmarkStart w:id="35" w:name="_Toc17233326"/>
      <w:bookmarkStart w:id="36" w:name="_Toc17233334"/>
      <w:bookmarkStart w:id="37" w:name="_Toc24884219"/>
      <w:bookmarkStart w:id="38" w:name="_Toc26648466"/>
      <w:bookmarkStart w:id="39" w:name="_Toc24884212"/>
      <w:r w:rsidRPr="00E967AD">
        <w:rPr>
          <w:rFonts w:ascii="仿宋" w:eastAsia="仿宋" w:hAnsi="仿宋" w:cs="仿宋" w:hint="eastAsia"/>
          <w:szCs w:val="21"/>
        </w:rPr>
        <w:t>本文件规定了铁路隧道不良地质超前地质预报的工作原则、地质复杂程度分级、预报方案编制、核心技术方法、专项预报要求、成果管理、质量控制及安全要求。</w:t>
      </w:r>
    </w:p>
    <w:p w14:paraId="55B1F24D" w14:textId="6F98195C" w:rsidR="00AC4878" w:rsidRDefault="00E967AD" w:rsidP="00E967AD">
      <w:pPr>
        <w:pStyle w:val="affb"/>
        <w:rPr>
          <w:rFonts w:ascii="仿宋" w:eastAsia="仿宋" w:hAnsi="仿宋" w:cs="仿宋" w:hint="eastAsia"/>
          <w:szCs w:val="21"/>
        </w:rPr>
      </w:pPr>
      <w:r w:rsidRPr="00E967AD">
        <w:rPr>
          <w:rFonts w:ascii="仿宋" w:eastAsia="仿宋" w:hAnsi="仿宋" w:cs="仿宋" w:hint="eastAsia"/>
          <w:szCs w:val="21"/>
        </w:rPr>
        <w:t>本文件适用于铁路隧道不良地质超前地质预报技术活动</w:t>
      </w:r>
      <w:r w:rsidR="006A10F1" w:rsidRPr="006A10F1">
        <w:rPr>
          <w:rFonts w:ascii="仿宋" w:eastAsia="仿宋" w:hAnsi="仿宋" w:cs="仿宋" w:hint="eastAsia"/>
          <w:szCs w:val="21"/>
        </w:rPr>
        <w:t>。</w:t>
      </w:r>
    </w:p>
    <w:p w14:paraId="6220ABE0" w14:textId="77777777" w:rsidR="00AC4878" w:rsidRDefault="00000000">
      <w:pPr>
        <w:pStyle w:val="affb"/>
        <w:ind w:firstLineChars="0" w:firstLine="0"/>
        <w:rPr>
          <w:rFonts w:ascii="仿宋" w:eastAsia="仿宋" w:hAnsi="仿宋" w:cs="仿宋" w:hint="eastAsia"/>
          <w:b/>
          <w:bCs/>
          <w:szCs w:val="21"/>
        </w:rPr>
      </w:pPr>
      <w:bookmarkStart w:id="40" w:name="_Toc26986531"/>
      <w:bookmarkStart w:id="41" w:name="_Toc26986772"/>
      <w:bookmarkStart w:id="42" w:name="_Toc26718931"/>
      <w:bookmarkStart w:id="43" w:name="_Toc113282591"/>
      <w:bookmarkStart w:id="44" w:name="_Toc97192965"/>
      <w:bookmarkStart w:id="45" w:name="_Toc11915"/>
      <w:r>
        <w:rPr>
          <w:rFonts w:ascii="仿宋" w:eastAsia="仿宋" w:hAnsi="仿宋" w:cs="仿宋" w:hint="eastAsia"/>
          <w:b/>
          <w:bCs/>
          <w:szCs w:val="21"/>
        </w:rPr>
        <w:t>2.规范性引用文件</w:t>
      </w:r>
      <w:bookmarkEnd w:id="35"/>
      <w:bookmarkEnd w:id="36"/>
      <w:bookmarkEnd w:id="37"/>
      <w:bookmarkEnd w:id="38"/>
      <w:bookmarkEnd w:id="39"/>
      <w:bookmarkEnd w:id="40"/>
      <w:bookmarkEnd w:id="41"/>
      <w:bookmarkEnd w:id="42"/>
      <w:bookmarkEnd w:id="43"/>
      <w:bookmarkEnd w:id="44"/>
      <w:bookmarkEnd w:id="45"/>
    </w:p>
    <w:p w14:paraId="6EC9F942" w14:textId="2259B864" w:rsidR="00AC4878" w:rsidRPr="0023380B" w:rsidRDefault="00E967AD" w:rsidP="006A10F1">
      <w:pPr>
        <w:pStyle w:val="affb"/>
        <w:rPr>
          <w:rFonts w:ascii="仿宋" w:eastAsia="仿宋" w:hAnsi="仿宋" w:cs="仿宋" w:hint="eastAsia"/>
          <w:szCs w:val="21"/>
        </w:rPr>
      </w:pPr>
      <w:r w:rsidRPr="00E967AD">
        <w:rPr>
          <w:rFonts w:ascii="仿宋" w:eastAsia="仿宋" w:hAnsi="仿宋" w:cs="仿宋" w:hint="eastAsia"/>
          <w:szCs w:val="21"/>
        </w:rPr>
        <w:t>GB/T 20257.1  国家基本比例尺地图图式 第1部分：1:500 1:1 000 1:2 000地形图图</w:t>
      </w:r>
      <w:r>
        <w:rPr>
          <w:rFonts w:ascii="仿宋" w:eastAsia="仿宋" w:hAnsi="仿宋" w:cs="仿宋" w:hint="eastAsia"/>
          <w:szCs w:val="21"/>
        </w:rPr>
        <w:t>式</w:t>
      </w:r>
    </w:p>
    <w:p w14:paraId="558A4E8F" w14:textId="77777777" w:rsidR="00AC4878" w:rsidRDefault="00000000">
      <w:pPr>
        <w:pStyle w:val="affb"/>
        <w:ind w:firstLineChars="0" w:firstLine="0"/>
        <w:rPr>
          <w:rFonts w:ascii="仿宋" w:eastAsia="仿宋" w:hAnsi="仿宋" w:cs="仿宋" w:hint="eastAsia"/>
          <w:b/>
          <w:bCs/>
          <w:szCs w:val="21"/>
        </w:rPr>
      </w:pPr>
      <w:bookmarkStart w:id="46" w:name="_Toc2484"/>
      <w:bookmarkStart w:id="47" w:name="_Toc113282592"/>
      <w:bookmarkStart w:id="48" w:name="_Toc97192966"/>
      <w:r>
        <w:rPr>
          <w:rFonts w:ascii="仿宋" w:eastAsia="仿宋" w:hAnsi="仿宋" w:cs="仿宋" w:hint="eastAsia"/>
          <w:b/>
          <w:bCs/>
          <w:szCs w:val="21"/>
        </w:rPr>
        <w:t>3.术语和定义</w:t>
      </w:r>
      <w:bookmarkEnd w:id="46"/>
      <w:bookmarkEnd w:id="47"/>
      <w:bookmarkEnd w:id="48"/>
    </w:p>
    <w:p w14:paraId="24EF2DB7" w14:textId="732F823B" w:rsidR="00AC4878" w:rsidRDefault="006A10F1">
      <w:pPr>
        <w:pStyle w:val="affffffff"/>
        <w:adjustRightInd w:val="0"/>
        <w:snapToGrid w:val="0"/>
        <w:ind w:firstLine="420"/>
        <w:rPr>
          <w:rFonts w:ascii="仿宋" w:eastAsia="仿宋" w:hAnsi="仿宋" w:cs="仿宋"/>
          <w:szCs w:val="21"/>
        </w:rPr>
      </w:pPr>
      <w:r w:rsidRPr="006A10F1">
        <w:rPr>
          <w:rFonts w:ascii="仿宋" w:eastAsia="仿宋" w:hAnsi="仿宋" w:cs="仿宋" w:hint="eastAsia"/>
          <w:szCs w:val="21"/>
        </w:rPr>
        <w:t>明确</w:t>
      </w:r>
      <w:r w:rsidR="00BF213B">
        <w:rPr>
          <w:rFonts w:ascii="仿宋" w:eastAsia="仿宋" w:hAnsi="仿宋" w:cs="仿宋" w:hint="eastAsia"/>
          <w:szCs w:val="21"/>
        </w:rPr>
        <w:t>不良地质、超前地质预报</w:t>
      </w:r>
      <w:r w:rsidRPr="006A10F1">
        <w:rPr>
          <w:rFonts w:ascii="仿宋" w:eastAsia="仿宋" w:hAnsi="仿宋" w:cs="仿宋" w:hint="eastAsia"/>
          <w:szCs w:val="21"/>
        </w:rPr>
        <w:t>等核心术语的定义</w:t>
      </w:r>
      <w:r>
        <w:rPr>
          <w:rFonts w:ascii="仿宋" w:eastAsia="仿宋" w:hAnsi="仿宋" w:cs="仿宋" w:hint="eastAsia"/>
          <w:szCs w:val="21"/>
        </w:rPr>
        <w:t>。</w:t>
      </w:r>
    </w:p>
    <w:p w14:paraId="4D58CCC4" w14:textId="4522EDBC" w:rsidR="00827B4A" w:rsidRPr="00827B4A" w:rsidRDefault="00827B4A" w:rsidP="00827B4A">
      <w:pPr>
        <w:pStyle w:val="affb"/>
        <w:ind w:firstLineChars="0" w:firstLine="0"/>
        <w:rPr>
          <w:rFonts w:ascii="仿宋" w:eastAsia="仿宋" w:hAnsi="仿宋" w:cs="仿宋"/>
          <w:b/>
          <w:bCs/>
          <w:szCs w:val="21"/>
        </w:rPr>
      </w:pPr>
      <w:r w:rsidRPr="00827B4A">
        <w:rPr>
          <w:rFonts w:ascii="仿宋" w:eastAsia="仿宋" w:hAnsi="仿宋" w:cs="仿宋" w:hint="eastAsia"/>
          <w:b/>
          <w:bCs/>
          <w:szCs w:val="21"/>
        </w:rPr>
        <w:t>4.</w:t>
      </w:r>
      <w:r w:rsidRPr="00827B4A">
        <w:rPr>
          <w:rFonts w:ascii="仿宋" w:eastAsia="仿宋" w:hAnsi="仿宋" w:cs="仿宋" w:hint="eastAsia"/>
          <w:b/>
          <w:bCs/>
          <w:szCs w:val="21"/>
        </w:rPr>
        <w:t>基本规定</w:t>
      </w:r>
    </w:p>
    <w:p w14:paraId="2445F7AC" w14:textId="000B5216" w:rsidR="00827B4A" w:rsidRPr="00827B4A" w:rsidRDefault="00827B4A" w:rsidP="00827B4A">
      <w:pPr>
        <w:pStyle w:val="affb"/>
        <w:rPr>
          <w:rFonts w:ascii="仿宋" w:eastAsia="仿宋" w:hAnsi="仿宋" w:cs="仿宋" w:hint="eastAsia"/>
          <w:szCs w:val="21"/>
        </w:rPr>
      </w:pPr>
      <w:r w:rsidRPr="00827B4A">
        <w:rPr>
          <w:rFonts w:ascii="仿宋" w:eastAsia="仿宋" w:hAnsi="仿宋" w:cs="仿宋" w:hint="eastAsia"/>
          <w:szCs w:val="21"/>
        </w:rPr>
        <w:t>明确地质复杂程度分级标准、预报核心原则及 “闭环管理” 的工作程序，奠定标准实施基础。</w:t>
      </w:r>
    </w:p>
    <w:p w14:paraId="775FDC53" w14:textId="7547E79D" w:rsidR="00827B4A" w:rsidRPr="00827B4A" w:rsidRDefault="00827B4A" w:rsidP="00827B4A">
      <w:pPr>
        <w:pStyle w:val="affb"/>
        <w:ind w:firstLineChars="0" w:firstLine="0"/>
        <w:rPr>
          <w:rFonts w:ascii="仿宋" w:eastAsia="仿宋" w:hAnsi="仿宋" w:cs="仿宋"/>
          <w:b/>
          <w:bCs/>
          <w:szCs w:val="21"/>
        </w:rPr>
      </w:pPr>
      <w:r w:rsidRPr="00827B4A">
        <w:rPr>
          <w:rFonts w:ascii="仿宋" w:eastAsia="仿宋" w:hAnsi="仿宋" w:cs="仿宋" w:hint="eastAsia"/>
          <w:b/>
          <w:bCs/>
          <w:szCs w:val="21"/>
        </w:rPr>
        <w:t>5.</w:t>
      </w:r>
      <w:r w:rsidRPr="00827B4A">
        <w:rPr>
          <w:rFonts w:ascii="仿宋" w:eastAsia="仿宋" w:hAnsi="仿宋" w:cs="仿宋" w:hint="eastAsia"/>
          <w:b/>
          <w:bCs/>
          <w:szCs w:val="21"/>
        </w:rPr>
        <w:t>预报方案编制</w:t>
      </w:r>
    </w:p>
    <w:p w14:paraId="2B3B4E36" w14:textId="39EA94EB" w:rsidR="00827B4A" w:rsidRPr="00827B4A" w:rsidRDefault="00827B4A" w:rsidP="00827B4A">
      <w:pPr>
        <w:pStyle w:val="affffffff"/>
        <w:adjustRightInd w:val="0"/>
        <w:snapToGrid w:val="0"/>
        <w:ind w:firstLine="420"/>
        <w:rPr>
          <w:rFonts w:ascii="仿宋" w:eastAsia="仿宋" w:hAnsi="仿宋" w:cs="仿宋" w:hint="eastAsia"/>
          <w:szCs w:val="21"/>
        </w:rPr>
      </w:pPr>
      <w:r w:rsidRPr="00827B4A">
        <w:rPr>
          <w:rFonts w:ascii="仿宋" w:eastAsia="仿宋" w:hAnsi="仿宋" w:cs="仿宋" w:hint="eastAsia"/>
          <w:szCs w:val="21"/>
        </w:rPr>
        <w:t>规定方案的编制依据、核心内容及动态调整要求，确保预报方案科学适配工程实际。</w:t>
      </w:r>
    </w:p>
    <w:p w14:paraId="067538CB" w14:textId="689DB1BC" w:rsidR="00827B4A" w:rsidRPr="00827B4A" w:rsidRDefault="00827B4A" w:rsidP="00827B4A">
      <w:pPr>
        <w:pStyle w:val="affb"/>
        <w:ind w:firstLineChars="0" w:firstLine="0"/>
        <w:rPr>
          <w:rFonts w:ascii="仿宋" w:eastAsia="仿宋" w:hAnsi="仿宋" w:cs="仿宋"/>
          <w:b/>
          <w:bCs/>
          <w:szCs w:val="21"/>
        </w:rPr>
      </w:pPr>
      <w:r w:rsidRPr="00827B4A">
        <w:rPr>
          <w:rFonts w:ascii="仿宋" w:eastAsia="仿宋" w:hAnsi="仿宋" w:cs="仿宋" w:hint="eastAsia"/>
          <w:b/>
          <w:bCs/>
          <w:szCs w:val="21"/>
        </w:rPr>
        <w:t>6.</w:t>
      </w:r>
      <w:r w:rsidRPr="00827B4A">
        <w:rPr>
          <w:rFonts w:ascii="仿宋" w:eastAsia="仿宋" w:hAnsi="仿宋" w:cs="仿宋" w:hint="eastAsia"/>
          <w:b/>
          <w:bCs/>
          <w:szCs w:val="21"/>
        </w:rPr>
        <w:t>核心预报技术方法</w:t>
      </w:r>
    </w:p>
    <w:p w14:paraId="1D344775" w14:textId="5DE71DF5" w:rsidR="00827B4A" w:rsidRPr="00827B4A" w:rsidRDefault="00827B4A" w:rsidP="00827B4A">
      <w:pPr>
        <w:pStyle w:val="affffffff"/>
        <w:adjustRightInd w:val="0"/>
        <w:snapToGrid w:val="0"/>
        <w:ind w:firstLine="420"/>
        <w:rPr>
          <w:rFonts w:ascii="仿宋" w:eastAsia="仿宋" w:hAnsi="仿宋" w:cs="仿宋" w:hint="eastAsia"/>
          <w:szCs w:val="21"/>
        </w:rPr>
      </w:pPr>
      <w:r w:rsidRPr="00827B4A">
        <w:rPr>
          <w:rFonts w:ascii="仿宋" w:eastAsia="仿宋" w:hAnsi="仿宋" w:cs="仿宋" w:hint="eastAsia"/>
          <w:szCs w:val="21"/>
        </w:rPr>
        <w:t>规范地质调查、物探、超前钻探、超前导坑四类核心方法的操作要求与技术参数。</w:t>
      </w:r>
    </w:p>
    <w:p w14:paraId="31CCE090" w14:textId="2FF544E5" w:rsidR="00827B4A" w:rsidRPr="00827B4A" w:rsidRDefault="00827B4A" w:rsidP="00827B4A">
      <w:pPr>
        <w:pStyle w:val="affb"/>
        <w:ind w:firstLineChars="0" w:firstLine="0"/>
        <w:rPr>
          <w:rFonts w:ascii="仿宋" w:eastAsia="仿宋" w:hAnsi="仿宋" w:cs="仿宋"/>
          <w:b/>
          <w:bCs/>
          <w:szCs w:val="21"/>
        </w:rPr>
      </w:pPr>
      <w:r w:rsidRPr="00827B4A">
        <w:rPr>
          <w:rFonts w:ascii="仿宋" w:eastAsia="仿宋" w:hAnsi="仿宋" w:cs="仿宋" w:hint="eastAsia"/>
          <w:b/>
          <w:bCs/>
          <w:szCs w:val="21"/>
        </w:rPr>
        <w:t>7.</w:t>
      </w:r>
      <w:r w:rsidRPr="00827B4A">
        <w:rPr>
          <w:rFonts w:ascii="仿宋" w:eastAsia="仿宋" w:hAnsi="仿宋" w:cs="仿宋" w:hint="eastAsia"/>
          <w:b/>
          <w:bCs/>
          <w:szCs w:val="21"/>
        </w:rPr>
        <w:t>不良地质专项预报</w:t>
      </w:r>
    </w:p>
    <w:p w14:paraId="79A6252C" w14:textId="439B2450" w:rsidR="00827B4A" w:rsidRPr="00827B4A" w:rsidRDefault="00827B4A" w:rsidP="00827B4A">
      <w:pPr>
        <w:pStyle w:val="affffffff"/>
        <w:adjustRightInd w:val="0"/>
        <w:snapToGrid w:val="0"/>
        <w:ind w:firstLine="420"/>
        <w:rPr>
          <w:rFonts w:ascii="仿宋" w:eastAsia="仿宋" w:hAnsi="仿宋" w:cs="仿宋" w:hint="eastAsia"/>
          <w:szCs w:val="21"/>
        </w:rPr>
      </w:pPr>
      <w:r w:rsidRPr="00827B4A">
        <w:rPr>
          <w:rFonts w:ascii="仿宋" w:eastAsia="仿宋" w:hAnsi="仿宋" w:cs="仿宋" w:hint="eastAsia"/>
          <w:szCs w:val="21"/>
        </w:rPr>
        <w:t>针对岩溶、断层、黄土、岩爆等不良地质，明确各自预报重点、方法组合及技术要求。</w:t>
      </w:r>
    </w:p>
    <w:p w14:paraId="0FF40E22" w14:textId="70340047" w:rsidR="00827B4A" w:rsidRPr="00827B4A" w:rsidRDefault="00827B4A" w:rsidP="00827B4A">
      <w:pPr>
        <w:pStyle w:val="affb"/>
        <w:ind w:firstLineChars="0" w:firstLine="0"/>
        <w:rPr>
          <w:rFonts w:ascii="仿宋" w:eastAsia="仿宋" w:hAnsi="仿宋" w:cs="仿宋"/>
          <w:b/>
          <w:bCs/>
          <w:szCs w:val="21"/>
        </w:rPr>
      </w:pPr>
      <w:r w:rsidRPr="00827B4A">
        <w:rPr>
          <w:rFonts w:ascii="仿宋" w:eastAsia="仿宋" w:hAnsi="仿宋" w:cs="仿宋" w:hint="eastAsia"/>
          <w:b/>
          <w:bCs/>
          <w:szCs w:val="21"/>
        </w:rPr>
        <w:t>8.</w:t>
      </w:r>
      <w:r w:rsidRPr="00827B4A">
        <w:rPr>
          <w:rFonts w:ascii="仿宋" w:eastAsia="仿宋" w:hAnsi="仿宋" w:cs="仿宋" w:hint="eastAsia"/>
          <w:b/>
          <w:bCs/>
          <w:szCs w:val="21"/>
        </w:rPr>
        <w:t>成果要求与验证</w:t>
      </w:r>
    </w:p>
    <w:p w14:paraId="75ED08BC" w14:textId="0C897256" w:rsidR="00827B4A" w:rsidRPr="00827B4A" w:rsidRDefault="00827B4A" w:rsidP="00827B4A">
      <w:pPr>
        <w:pStyle w:val="affffffff"/>
        <w:adjustRightInd w:val="0"/>
        <w:snapToGrid w:val="0"/>
        <w:ind w:firstLine="420"/>
        <w:rPr>
          <w:rFonts w:ascii="仿宋" w:eastAsia="仿宋" w:hAnsi="仿宋" w:cs="仿宋" w:hint="eastAsia"/>
          <w:szCs w:val="21"/>
        </w:rPr>
      </w:pPr>
      <w:r w:rsidRPr="00827B4A">
        <w:rPr>
          <w:rFonts w:ascii="仿宋" w:eastAsia="仿宋" w:hAnsi="仿宋" w:cs="仿宋" w:hint="eastAsia"/>
          <w:szCs w:val="21"/>
        </w:rPr>
        <w:t>明确预报成果的组成、附图附表规范、原始资料管理要求及成果验证与准确率标准。</w:t>
      </w:r>
    </w:p>
    <w:p w14:paraId="2758879A" w14:textId="5897DACE" w:rsidR="00827B4A" w:rsidRPr="00827B4A" w:rsidRDefault="00827B4A" w:rsidP="00827B4A">
      <w:pPr>
        <w:pStyle w:val="affb"/>
        <w:ind w:firstLineChars="0" w:firstLine="0"/>
        <w:rPr>
          <w:rFonts w:ascii="仿宋" w:eastAsia="仿宋" w:hAnsi="仿宋" w:cs="仿宋"/>
          <w:b/>
          <w:bCs/>
          <w:szCs w:val="21"/>
        </w:rPr>
      </w:pPr>
      <w:r w:rsidRPr="00827B4A">
        <w:rPr>
          <w:rFonts w:ascii="仿宋" w:eastAsia="仿宋" w:hAnsi="仿宋" w:cs="仿宋" w:hint="eastAsia"/>
          <w:b/>
          <w:bCs/>
          <w:szCs w:val="21"/>
        </w:rPr>
        <w:t>9．</w:t>
      </w:r>
      <w:r w:rsidRPr="00827B4A">
        <w:rPr>
          <w:rFonts w:ascii="仿宋" w:eastAsia="仿宋" w:hAnsi="仿宋" w:cs="仿宋" w:hint="eastAsia"/>
          <w:b/>
          <w:bCs/>
          <w:szCs w:val="21"/>
        </w:rPr>
        <w:t>质量控制与安全要求</w:t>
      </w:r>
    </w:p>
    <w:p w14:paraId="37E6EDCA" w14:textId="284983F8" w:rsidR="00827B4A" w:rsidRDefault="00827B4A" w:rsidP="00827B4A">
      <w:pPr>
        <w:pStyle w:val="affffffff"/>
        <w:adjustRightInd w:val="0"/>
        <w:snapToGrid w:val="0"/>
        <w:ind w:firstLine="420"/>
        <w:rPr>
          <w:rFonts w:ascii="仿宋" w:eastAsia="仿宋" w:hAnsi="仿宋" w:cs="仿宋" w:hint="eastAsia"/>
          <w:szCs w:val="21"/>
        </w:rPr>
      </w:pPr>
      <w:r w:rsidRPr="00827B4A">
        <w:rPr>
          <w:rFonts w:ascii="仿宋" w:eastAsia="仿宋" w:hAnsi="仿宋" w:cs="仿宋" w:hint="eastAsia"/>
          <w:szCs w:val="21"/>
        </w:rPr>
        <w:t>从人员、设备、过程控制及成果审核明确质量要求，同时规定现场作业、特殊地质安全及应急管理措施。</w:t>
      </w:r>
    </w:p>
    <w:p w14:paraId="2545AB1A" w14:textId="77777777" w:rsidR="00AC4878" w:rsidRDefault="00000000">
      <w:pPr>
        <w:pStyle w:val="a1"/>
        <w:numPr>
          <w:ilvl w:val="1"/>
          <w:numId w:val="0"/>
        </w:numPr>
        <w:spacing w:before="156" w:after="156"/>
        <w:rPr>
          <w:rFonts w:ascii="仿宋" w:eastAsia="仿宋" w:hAnsi="仿宋" w:cs="仿宋" w:hint="eastAsia"/>
          <w:b/>
          <w:bCs/>
          <w:color w:val="000000"/>
        </w:rPr>
      </w:pPr>
      <w:bookmarkStart w:id="49" w:name="_Toc26986532"/>
      <w:bookmarkEnd w:id="49"/>
      <w:r>
        <w:rPr>
          <w:rFonts w:ascii="仿宋" w:eastAsia="仿宋" w:hAnsi="仿宋" w:cs="仿宋" w:hint="eastAsia"/>
          <w:b/>
          <w:bCs/>
          <w:color w:val="000000"/>
        </w:rPr>
        <w:t>十、与有关的现行法律、法规和强制性国家标准及相关标准协调配套情况</w:t>
      </w:r>
    </w:p>
    <w:p w14:paraId="3C228C48"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lastRenderedPageBreak/>
        <w:t>本文件的制定过程等符合现行法律、法规和强制性国家标准的规定。</w:t>
      </w:r>
    </w:p>
    <w:p w14:paraId="433D6DCC"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十一、重大分歧意见的处理经过和依据</w:t>
      </w:r>
    </w:p>
    <w:p w14:paraId="106E5E0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0912C1A3"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十二、标准作为强制性或推荐性标准的建议</w:t>
      </w:r>
    </w:p>
    <w:p w14:paraId="24C07FB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建议该标准作为推荐性团体标准。</w:t>
      </w:r>
    </w:p>
    <w:p w14:paraId="6F001D2A"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十三、贯彻标准的要求和措施建议，包括（组织措施、技术措施、过渡办法）</w:t>
      </w:r>
    </w:p>
    <w:p w14:paraId="29A31206"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由于本文件首次制定，没有特殊要求。</w:t>
      </w:r>
    </w:p>
    <w:p w14:paraId="7C9E39C5"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十四、废止现有有关标准的建议</w:t>
      </w:r>
    </w:p>
    <w:p w14:paraId="1C52110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58A38841" w14:textId="77777777" w:rsidR="00AC4878" w:rsidRDefault="00AC4878">
      <w:pPr>
        <w:snapToGrid w:val="0"/>
        <w:ind w:firstLineChars="200" w:firstLine="420"/>
        <w:rPr>
          <w:rFonts w:ascii="仿宋" w:eastAsia="仿宋" w:hAnsi="仿宋" w:cs="仿宋" w:hint="eastAsia"/>
          <w:kern w:val="0"/>
          <w:szCs w:val="21"/>
        </w:rPr>
      </w:pPr>
    </w:p>
    <w:p w14:paraId="180512C4" w14:textId="77777777" w:rsidR="00AC4878"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团体标准工作组</w:t>
      </w:r>
    </w:p>
    <w:p w14:paraId="57A29966" w14:textId="2519C9A2" w:rsidR="00AC4878"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202</w:t>
      </w:r>
      <w:r w:rsidR="00E26312">
        <w:rPr>
          <w:rFonts w:ascii="仿宋" w:eastAsia="仿宋" w:hAnsi="仿宋" w:cs="仿宋" w:hint="eastAsia"/>
          <w:kern w:val="0"/>
          <w:szCs w:val="21"/>
        </w:rPr>
        <w:t>5</w:t>
      </w:r>
      <w:r>
        <w:rPr>
          <w:rFonts w:ascii="仿宋" w:eastAsia="仿宋" w:hAnsi="仿宋" w:cs="仿宋" w:hint="eastAsia"/>
          <w:kern w:val="0"/>
          <w:szCs w:val="21"/>
        </w:rPr>
        <w:t>年</w:t>
      </w:r>
      <w:r w:rsidR="00E26312">
        <w:rPr>
          <w:rFonts w:ascii="仿宋" w:eastAsia="仿宋" w:hAnsi="仿宋" w:cs="仿宋" w:hint="eastAsia"/>
          <w:kern w:val="0"/>
          <w:szCs w:val="21"/>
        </w:rPr>
        <w:t>10</w:t>
      </w:r>
      <w:r>
        <w:rPr>
          <w:rFonts w:ascii="仿宋" w:eastAsia="仿宋" w:hAnsi="仿宋" w:cs="仿宋" w:hint="eastAsia"/>
          <w:kern w:val="0"/>
          <w:szCs w:val="21"/>
        </w:rPr>
        <w:t>月</w:t>
      </w:r>
    </w:p>
    <w:sectPr w:rsidR="00AC4878">
      <w:headerReference w:type="even" r:id="rId8"/>
      <w:footerReference w:type="even" r:id="rId9"/>
      <w:footerReference w:type="default" r:id="rId10"/>
      <w:pgSz w:w="11906" w:h="16838"/>
      <w:pgMar w:top="850" w:right="1134" w:bottom="850" w:left="1134"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E0FB8" w14:textId="77777777" w:rsidR="00A405F0" w:rsidRDefault="00A405F0">
      <w:r>
        <w:separator/>
      </w:r>
    </w:p>
  </w:endnote>
  <w:endnote w:type="continuationSeparator" w:id="0">
    <w:p w14:paraId="39FD4C61" w14:textId="77777777" w:rsidR="00A405F0" w:rsidRDefault="00A40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2914" w14:textId="77777777" w:rsidR="00AC4878" w:rsidRDefault="00000000">
    <w:pPr>
      <w:pStyle w:val="aff6"/>
      <w:jc w:val="lef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D482" w14:textId="77777777" w:rsidR="00AC4878" w:rsidRDefault="00000000">
    <w:pPr>
      <w:pStyle w:val="aff6"/>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713B5" w14:textId="77777777" w:rsidR="00A405F0" w:rsidRDefault="00A405F0">
      <w:r>
        <w:separator/>
      </w:r>
    </w:p>
  </w:footnote>
  <w:footnote w:type="continuationSeparator" w:id="0">
    <w:p w14:paraId="7BB4FC33" w14:textId="77777777" w:rsidR="00A405F0" w:rsidRDefault="00A40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7314" w14:textId="77777777" w:rsidR="00AC4878" w:rsidRDefault="00AC4878">
    <w:pPr>
      <w:pStyle w:val="affff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283"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15:restartNumberingAfterBreak="0">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15:restartNumberingAfterBreak="0">
    <w:nsid w:val="44C50F90"/>
    <w:multiLevelType w:val="multilevel"/>
    <w:tmpl w:val="44C50F90"/>
    <w:lvl w:ilvl="0">
      <w:start w:val="1"/>
      <w:numFmt w:val="lowerLetter"/>
      <w:pStyle w:val="ab"/>
      <w:lvlText w:val="%1)"/>
      <w:lvlJc w:val="left"/>
      <w:pPr>
        <w:tabs>
          <w:tab w:val="left" w:pos="840"/>
        </w:tabs>
        <w:ind w:left="839" w:hanging="419"/>
      </w:pPr>
      <w:rPr>
        <w:rFonts w:ascii="宋体" w:eastAsia="宋体" w:hint="eastAsia"/>
        <w:b w:val="0"/>
        <w:i w:val="0"/>
        <w:sz w:val="21"/>
        <w:szCs w:val="21"/>
      </w:rPr>
    </w:lvl>
    <w:lvl w:ilvl="1">
      <w:start w:val="1"/>
      <w:numFmt w:val="decimal"/>
      <w:pStyle w:val="ac"/>
      <w:lvlText w:val="%2)"/>
      <w:lvlJc w:val="left"/>
      <w:pPr>
        <w:tabs>
          <w:tab w:val="left" w:pos="1260"/>
        </w:tabs>
        <w:ind w:left="1259" w:hanging="419"/>
      </w:pPr>
      <w:rPr>
        <w:rFonts w:hint="eastAsia"/>
      </w:rPr>
    </w:lvl>
    <w:lvl w:ilvl="2">
      <w:start w:val="1"/>
      <w:numFmt w:val="decimal"/>
      <w:pStyle w:val="ad"/>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48802D1C"/>
    <w:multiLevelType w:val="multilevel"/>
    <w:tmpl w:val="48802D1C"/>
    <w:lvl w:ilvl="0">
      <w:start w:val="1"/>
      <w:numFmt w:val="upperLetter"/>
      <w:pStyle w:val="ae"/>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57C2AF5"/>
    <w:multiLevelType w:val="multilevel"/>
    <w:tmpl w:val="557C2AF5"/>
    <w:lvl w:ilvl="0">
      <w:start w:val="1"/>
      <w:numFmt w:val="decimal"/>
      <w:pStyle w:val="a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8" w15:restartNumberingAfterBreak="0">
    <w:nsid w:val="5603797C"/>
    <w:multiLevelType w:val="multilevel"/>
    <w:tmpl w:val="5603797C"/>
    <w:lvl w:ilvl="0">
      <w:start w:val="1"/>
      <w:numFmt w:val="upperLetter"/>
      <w:pStyle w:val="af0"/>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0" w15:restartNumberingAfterBreak="0">
    <w:nsid w:val="646260FA"/>
    <w:multiLevelType w:val="multilevel"/>
    <w:tmpl w:val="646260FA"/>
    <w:lvl w:ilvl="0">
      <w:start w:val="1"/>
      <w:numFmt w:val="decimal"/>
      <w:pStyle w:val="a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6"/>
      <w:suff w:val="nothing"/>
      <w:lvlText w:val="%1%2　"/>
      <w:lvlJc w:val="left"/>
      <w:pPr>
        <w:ind w:left="0" w:firstLine="0"/>
      </w:pPr>
      <w:rPr>
        <w:rFonts w:ascii="黑体" w:eastAsia="黑体" w:hint="eastAsia"/>
        <w:b w:val="0"/>
        <w:i w:val="0"/>
        <w:sz w:val="21"/>
      </w:rPr>
    </w:lvl>
    <w:lvl w:ilvl="2">
      <w:start w:val="1"/>
      <w:numFmt w:val="decimal"/>
      <w:pStyle w:val="a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8"/>
      <w:suff w:val="nothing"/>
      <w:lvlText w:val="%1%2.%3.%4　"/>
      <w:lvlJc w:val="left"/>
      <w:pPr>
        <w:ind w:left="0" w:firstLine="0"/>
      </w:pPr>
      <w:rPr>
        <w:rFonts w:ascii="黑体" w:eastAsia="黑体" w:hint="eastAsia"/>
        <w:b w:val="0"/>
        <w:i w:val="0"/>
        <w:sz w:val="21"/>
      </w:rPr>
    </w:lvl>
    <w:lvl w:ilvl="4">
      <w:start w:val="1"/>
      <w:numFmt w:val="decimal"/>
      <w:pStyle w:val="af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4" w15:restartNumberingAfterBreak="0">
    <w:nsid w:val="7D3B2390"/>
    <w:multiLevelType w:val="multilevel"/>
    <w:tmpl w:val="EF08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1518519">
    <w:abstractNumId w:val="4"/>
  </w:num>
  <w:num w:numId="2" w16cid:durableId="269507538">
    <w:abstractNumId w:val="1"/>
  </w:num>
  <w:num w:numId="3" w16cid:durableId="2050915459">
    <w:abstractNumId w:val="11"/>
  </w:num>
  <w:num w:numId="4" w16cid:durableId="744493091">
    <w:abstractNumId w:val="13"/>
  </w:num>
  <w:num w:numId="5" w16cid:durableId="1121152155">
    <w:abstractNumId w:val="2"/>
  </w:num>
  <w:num w:numId="6" w16cid:durableId="667288779">
    <w:abstractNumId w:val="9"/>
  </w:num>
  <w:num w:numId="7" w16cid:durableId="1210075718">
    <w:abstractNumId w:val="0"/>
  </w:num>
  <w:num w:numId="8" w16cid:durableId="1370759643">
    <w:abstractNumId w:val="3"/>
  </w:num>
  <w:num w:numId="9" w16cid:durableId="642925293">
    <w:abstractNumId w:val="5"/>
  </w:num>
  <w:num w:numId="10" w16cid:durableId="2056076812">
    <w:abstractNumId w:val="12"/>
  </w:num>
  <w:num w:numId="11" w16cid:durableId="809136188">
    <w:abstractNumId w:val="7"/>
  </w:num>
  <w:num w:numId="12" w16cid:durableId="819541212">
    <w:abstractNumId w:val="10"/>
  </w:num>
  <w:num w:numId="13" w16cid:durableId="698706900">
    <w:abstractNumId w:val="6"/>
  </w:num>
  <w:num w:numId="14" w16cid:durableId="302928847">
    <w:abstractNumId w:val="8"/>
  </w:num>
  <w:num w:numId="15" w16cid:durableId="339630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removePersonalInformation/>
  <w:mirrorMargins/>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D0D"/>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380B"/>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4103"/>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6A9"/>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570A"/>
    <w:rsid w:val="00316BAD"/>
    <w:rsid w:val="00317009"/>
    <w:rsid w:val="00320AF9"/>
    <w:rsid w:val="00321CF6"/>
    <w:rsid w:val="0032241D"/>
    <w:rsid w:val="0032293F"/>
    <w:rsid w:val="0032342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58ED"/>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6ACC"/>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BA2"/>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1EE8"/>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2B81"/>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9B1"/>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079A"/>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10F1"/>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B4A"/>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6EAB"/>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0BA3"/>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69"/>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5F0"/>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551"/>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878"/>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574B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77E6E"/>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13B"/>
    <w:rsid w:val="00BF2244"/>
    <w:rsid w:val="00BF423F"/>
    <w:rsid w:val="00BF525E"/>
    <w:rsid w:val="00BF617A"/>
    <w:rsid w:val="00BF6D1A"/>
    <w:rsid w:val="00BF7708"/>
    <w:rsid w:val="00C01B80"/>
    <w:rsid w:val="00C0379D"/>
    <w:rsid w:val="00C03931"/>
    <w:rsid w:val="00C05078"/>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06EC"/>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1023"/>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77"/>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4AD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6312"/>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7AD"/>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3C62"/>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C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autoRedefine/>
    <w:qFormat/>
    <w:pPr>
      <w:widowControl w:val="0"/>
      <w:jc w:val="both"/>
    </w:pPr>
    <w:rPr>
      <w:kern w:val="2"/>
      <w:sz w:val="21"/>
      <w:szCs w:val="24"/>
    </w:rPr>
  </w:style>
  <w:style w:type="paragraph" w:styleId="1">
    <w:name w:val="heading 1"/>
    <w:basedOn w:val="afc"/>
    <w:next w:val="afc"/>
    <w:autoRedefine/>
    <w:qFormat/>
    <w:pPr>
      <w:keepNext/>
      <w:keepLines/>
      <w:spacing w:before="340" w:after="330" w:line="578" w:lineRule="auto"/>
      <w:outlineLvl w:val="0"/>
    </w:pPr>
    <w:rPr>
      <w:b/>
      <w:bCs/>
      <w:kern w:val="44"/>
      <w:sz w:val="44"/>
      <w:szCs w:val="44"/>
    </w:rPr>
  </w:style>
  <w:style w:type="paragraph" w:styleId="2">
    <w:name w:val="heading 2"/>
    <w:basedOn w:val="afc"/>
    <w:next w:val="afc"/>
    <w:autoRedefine/>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fc"/>
    <w:next w:val="afc"/>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fc"/>
    <w:next w:val="afc"/>
    <w:semiHidden/>
    <w:unhideWhenUsed/>
    <w:qFormat/>
    <w:pPr>
      <w:spacing w:beforeAutospacing="1" w:afterAutospacing="1"/>
      <w:jc w:val="left"/>
      <w:outlineLvl w:val="3"/>
    </w:pPr>
    <w:rPr>
      <w:rFonts w:ascii="宋体" w:hAnsi="宋体" w:hint="eastAsia"/>
      <w:b/>
      <w:bCs/>
      <w:kern w:val="0"/>
      <w:sz w:val="24"/>
    </w:rPr>
  </w:style>
  <w:style w:type="paragraph" w:styleId="5">
    <w:name w:val="heading 5"/>
    <w:basedOn w:val="afc"/>
    <w:next w:val="afc"/>
    <w:semiHidden/>
    <w:unhideWhenUsed/>
    <w:qFormat/>
    <w:pPr>
      <w:spacing w:beforeAutospacing="1" w:afterAutospacing="1"/>
      <w:jc w:val="left"/>
      <w:outlineLvl w:val="4"/>
    </w:pPr>
    <w:rPr>
      <w:rFonts w:ascii="宋体" w:hAnsi="宋体" w:hint="eastAsia"/>
      <w:b/>
      <w:bCs/>
      <w:kern w:val="0"/>
      <w:sz w:val="20"/>
      <w:szCs w:val="20"/>
    </w:rPr>
  </w:style>
  <w:style w:type="paragraph" w:styleId="6">
    <w:name w:val="heading 6"/>
    <w:basedOn w:val="afc"/>
    <w:next w:val="afc"/>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autoRedefine/>
    <w:semiHidden/>
    <w:qFormat/>
    <w:pPr>
      <w:tabs>
        <w:tab w:val="right" w:leader="dot" w:pos="9242"/>
      </w:tabs>
      <w:ind w:firstLineChars="500" w:firstLine="6259"/>
      <w:jc w:val="left"/>
    </w:pPr>
    <w:rPr>
      <w:rFonts w:ascii="宋体"/>
      <w:szCs w:val="21"/>
    </w:rPr>
  </w:style>
  <w:style w:type="paragraph" w:styleId="8">
    <w:name w:val="index 8"/>
    <w:basedOn w:val="afc"/>
    <w:next w:val="afc"/>
    <w:autoRedefine/>
    <w:qFormat/>
    <w:pPr>
      <w:ind w:left="1680" w:hanging="210"/>
      <w:jc w:val="left"/>
    </w:pPr>
    <w:rPr>
      <w:rFonts w:ascii="Calibri" w:hAnsi="Calibri"/>
      <w:sz w:val="20"/>
      <w:szCs w:val="20"/>
    </w:rPr>
  </w:style>
  <w:style w:type="paragraph" w:styleId="aff0">
    <w:name w:val="caption"/>
    <w:basedOn w:val="afc"/>
    <w:next w:val="afc"/>
    <w:autoRedefine/>
    <w:qFormat/>
    <w:pPr>
      <w:spacing w:before="152" w:after="160"/>
    </w:pPr>
    <w:rPr>
      <w:rFonts w:ascii="Arial" w:eastAsia="黑体" w:hAnsi="Arial" w:cs="Arial"/>
      <w:sz w:val="20"/>
      <w:szCs w:val="20"/>
    </w:rPr>
  </w:style>
  <w:style w:type="paragraph" w:styleId="50">
    <w:name w:val="index 5"/>
    <w:basedOn w:val="afc"/>
    <w:next w:val="afc"/>
    <w:autoRedefine/>
    <w:qFormat/>
    <w:pPr>
      <w:ind w:left="1050" w:hanging="210"/>
      <w:jc w:val="left"/>
    </w:pPr>
    <w:rPr>
      <w:rFonts w:ascii="Calibri" w:hAnsi="Calibri"/>
      <w:sz w:val="20"/>
      <w:szCs w:val="20"/>
    </w:rPr>
  </w:style>
  <w:style w:type="paragraph" w:styleId="aff1">
    <w:name w:val="Document Map"/>
    <w:basedOn w:val="afc"/>
    <w:autoRedefine/>
    <w:semiHidden/>
    <w:qFormat/>
    <w:pPr>
      <w:shd w:val="clear" w:color="auto" w:fill="000080"/>
    </w:pPr>
  </w:style>
  <w:style w:type="paragraph" w:styleId="aff2">
    <w:name w:val="annotation text"/>
    <w:basedOn w:val="afc"/>
    <w:autoRedefine/>
    <w:qFormat/>
    <w:pPr>
      <w:jc w:val="left"/>
    </w:pPr>
  </w:style>
  <w:style w:type="paragraph" w:styleId="61">
    <w:name w:val="index 6"/>
    <w:basedOn w:val="afc"/>
    <w:next w:val="afc"/>
    <w:autoRedefine/>
    <w:qFormat/>
    <w:pPr>
      <w:ind w:left="1260" w:hanging="210"/>
      <w:jc w:val="left"/>
    </w:pPr>
    <w:rPr>
      <w:rFonts w:ascii="Calibri" w:hAnsi="Calibri"/>
      <w:sz w:val="20"/>
      <w:szCs w:val="20"/>
    </w:rPr>
  </w:style>
  <w:style w:type="paragraph" w:styleId="aff3">
    <w:name w:val="Body Text"/>
    <w:basedOn w:val="afc"/>
    <w:autoRedefine/>
    <w:uiPriority w:val="99"/>
    <w:semiHidden/>
    <w:unhideWhenUsed/>
    <w:qFormat/>
    <w:pPr>
      <w:spacing w:after="120"/>
    </w:pPr>
  </w:style>
  <w:style w:type="paragraph" w:styleId="40">
    <w:name w:val="index 4"/>
    <w:basedOn w:val="afc"/>
    <w:next w:val="afc"/>
    <w:autoRedefine/>
    <w:qFormat/>
    <w:pPr>
      <w:ind w:left="840" w:hanging="210"/>
      <w:jc w:val="left"/>
    </w:pPr>
    <w:rPr>
      <w:rFonts w:ascii="Calibri" w:hAnsi="Calibri"/>
      <w:sz w:val="20"/>
      <w:szCs w:val="20"/>
    </w:rPr>
  </w:style>
  <w:style w:type="paragraph" w:styleId="TOC5">
    <w:name w:val="toc 5"/>
    <w:basedOn w:val="afc"/>
    <w:next w:val="afc"/>
    <w:autoRedefine/>
    <w:semiHidden/>
    <w:qFormat/>
    <w:pPr>
      <w:tabs>
        <w:tab w:val="right" w:leader="dot" w:pos="9242"/>
      </w:tabs>
      <w:ind w:firstLineChars="300" w:firstLine="3755"/>
      <w:jc w:val="left"/>
    </w:pPr>
    <w:rPr>
      <w:rFonts w:ascii="宋体"/>
      <w:szCs w:val="21"/>
    </w:rPr>
  </w:style>
  <w:style w:type="paragraph" w:styleId="TOC3">
    <w:name w:val="toc 3"/>
    <w:basedOn w:val="afc"/>
    <w:next w:val="afc"/>
    <w:autoRedefine/>
    <w:uiPriority w:val="39"/>
    <w:qFormat/>
    <w:pPr>
      <w:tabs>
        <w:tab w:val="right" w:leader="dot" w:pos="9242"/>
      </w:tabs>
      <w:ind w:firstLineChars="100" w:firstLine="1252"/>
      <w:jc w:val="left"/>
    </w:pPr>
    <w:rPr>
      <w:rFonts w:ascii="宋体"/>
      <w:szCs w:val="21"/>
    </w:rPr>
  </w:style>
  <w:style w:type="paragraph" w:styleId="TOC8">
    <w:name w:val="toc 8"/>
    <w:basedOn w:val="afc"/>
    <w:next w:val="afc"/>
    <w:autoRedefine/>
    <w:semiHidden/>
    <w:qFormat/>
    <w:pPr>
      <w:tabs>
        <w:tab w:val="right" w:leader="dot" w:pos="9242"/>
      </w:tabs>
      <w:ind w:firstLineChars="600" w:firstLine="7511"/>
      <w:jc w:val="left"/>
    </w:pPr>
    <w:rPr>
      <w:rFonts w:ascii="宋体"/>
      <w:szCs w:val="21"/>
    </w:rPr>
  </w:style>
  <w:style w:type="paragraph" w:styleId="30">
    <w:name w:val="index 3"/>
    <w:basedOn w:val="afc"/>
    <w:next w:val="afc"/>
    <w:autoRedefine/>
    <w:qFormat/>
    <w:pPr>
      <w:ind w:left="630" w:hanging="210"/>
      <w:jc w:val="left"/>
    </w:pPr>
    <w:rPr>
      <w:rFonts w:ascii="Calibri" w:hAnsi="Calibri"/>
      <w:sz w:val="20"/>
      <w:szCs w:val="20"/>
    </w:rPr>
  </w:style>
  <w:style w:type="paragraph" w:styleId="20">
    <w:name w:val="Body Text Indent 2"/>
    <w:basedOn w:val="afc"/>
    <w:link w:val="21"/>
    <w:autoRedefine/>
    <w:uiPriority w:val="99"/>
    <w:unhideWhenUsed/>
    <w:qFormat/>
    <w:pPr>
      <w:spacing w:after="120" w:line="480" w:lineRule="auto"/>
      <w:ind w:leftChars="200" w:left="420"/>
      <w:jc w:val="left"/>
    </w:pPr>
    <w:rPr>
      <w:rFonts w:eastAsia="PMingLiU"/>
      <w:sz w:val="24"/>
      <w:lang w:eastAsia="zh-TW"/>
    </w:rPr>
  </w:style>
  <w:style w:type="paragraph" w:styleId="aff4">
    <w:name w:val="endnote text"/>
    <w:basedOn w:val="afc"/>
    <w:autoRedefine/>
    <w:semiHidden/>
    <w:qFormat/>
    <w:pPr>
      <w:snapToGrid w:val="0"/>
      <w:jc w:val="left"/>
    </w:pPr>
  </w:style>
  <w:style w:type="paragraph" w:styleId="aff5">
    <w:name w:val="Balloon Text"/>
    <w:basedOn w:val="afc"/>
    <w:autoRedefine/>
    <w:semiHidden/>
    <w:qFormat/>
    <w:rPr>
      <w:sz w:val="18"/>
      <w:szCs w:val="18"/>
    </w:rPr>
  </w:style>
  <w:style w:type="paragraph" w:styleId="aff6">
    <w:name w:val="footer"/>
    <w:basedOn w:val="afc"/>
    <w:link w:val="aff7"/>
    <w:autoRedefine/>
    <w:uiPriority w:val="99"/>
    <w:qFormat/>
    <w:pPr>
      <w:snapToGrid w:val="0"/>
      <w:ind w:rightChars="100" w:right="210"/>
      <w:jc w:val="right"/>
    </w:pPr>
    <w:rPr>
      <w:sz w:val="18"/>
      <w:szCs w:val="18"/>
    </w:rPr>
  </w:style>
  <w:style w:type="paragraph" w:styleId="aff8">
    <w:name w:val="header"/>
    <w:basedOn w:val="afc"/>
    <w:link w:val="aff9"/>
    <w:autoRedefine/>
    <w:uiPriority w:val="99"/>
    <w:qFormat/>
    <w:pPr>
      <w:snapToGrid w:val="0"/>
      <w:jc w:val="left"/>
    </w:pPr>
    <w:rPr>
      <w:sz w:val="18"/>
      <w:szCs w:val="18"/>
    </w:rPr>
  </w:style>
  <w:style w:type="paragraph" w:styleId="TOC1">
    <w:name w:val="toc 1"/>
    <w:basedOn w:val="afc"/>
    <w:next w:val="afc"/>
    <w:autoRedefine/>
    <w:uiPriority w:val="39"/>
    <w:qFormat/>
    <w:pPr>
      <w:tabs>
        <w:tab w:val="right" w:leader="dot" w:pos="9242"/>
      </w:tabs>
      <w:spacing w:beforeLines="25" w:afterLines="25"/>
      <w:jc w:val="left"/>
    </w:pPr>
    <w:rPr>
      <w:rFonts w:ascii="宋体"/>
      <w:szCs w:val="21"/>
    </w:rPr>
  </w:style>
  <w:style w:type="paragraph" w:styleId="TOC4">
    <w:name w:val="toc 4"/>
    <w:basedOn w:val="afc"/>
    <w:next w:val="afc"/>
    <w:autoRedefine/>
    <w:semiHidden/>
    <w:qFormat/>
    <w:pPr>
      <w:tabs>
        <w:tab w:val="right" w:leader="dot" w:pos="9242"/>
      </w:tabs>
      <w:ind w:firstLineChars="200" w:firstLine="2504"/>
      <w:jc w:val="left"/>
    </w:pPr>
    <w:rPr>
      <w:rFonts w:ascii="宋体"/>
      <w:szCs w:val="21"/>
    </w:rPr>
  </w:style>
  <w:style w:type="paragraph" w:styleId="affa">
    <w:name w:val="index heading"/>
    <w:basedOn w:val="afc"/>
    <w:next w:val="10"/>
    <w:autoRedefine/>
    <w:qFormat/>
    <w:pPr>
      <w:spacing w:before="120" w:after="120"/>
      <w:jc w:val="center"/>
    </w:pPr>
    <w:rPr>
      <w:rFonts w:ascii="Calibri" w:hAnsi="Calibri"/>
      <w:b/>
      <w:bCs/>
      <w:iCs/>
      <w:szCs w:val="20"/>
    </w:rPr>
  </w:style>
  <w:style w:type="paragraph" w:styleId="10">
    <w:name w:val="index 1"/>
    <w:basedOn w:val="afc"/>
    <w:next w:val="affb"/>
    <w:autoRedefine/>
    <w:qFormat/>
    <w:pPr>
      <w:tabs>
        <w:tab w:val="right" w:leader="dot" w:pos="9299"/>
      </w:tabs>
      <w:jc w:val="left"/>
    </w:pPr>
    <w:rPr>
      <w:rFonts w:ascii="宋体"/>
      <w:szCs w:val="21"/>
    </w:r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c"/>
    <w:autoRedefine/>
    <w:qFormat/>
    <w:pPr>
      <w:numPr>
        <w:numId w:val="1"/>
      </w:numPr>
      <w:snapToGrid w:val="0"/>
      <w:jc w:val="left"/>
    </w:pPr>
    <w:rPr>
      <w:rFonts w:ascii="宋体"/>
      <w:sz w:val="18"/>
      <w:szCs w:val="18"/>
    </w:rPr>
  </w:style>
  <w:style w:type="paragraph" w:styleId="TOC6">
    <w:name w:val="toc 6"/>
    <w:basedOn w:val="afc"/>
    <w:next w:val="afc"/>
    <w:autoRedefine/>
    <w:semiHidden/>
    <w:qFormat/>
    <w:pPr>
      <w:tabs>
        <w:tab w:val="right" w:leader="dot" w:pos="9242"/>
      </w:tabs>
      <w:ind w:firstLineChars="400" w:firstLine="5007"/>
      <w:jc w:val="left"/>
    </w:pPr>
    <w:rPr>
      <w:rFonts w:ascii="宋体"/>
      <w:szCs w:val="21"/>
    </w:rPr>
  </w:style>
  <w:style w:type="paragraph" w:styleId="7">
    <w:name w:val="index 7"/>
    <w:basedOn w:val="afc"/>
    <w:next w:val="afc"/>
    <w:autoRedefine/>
    <w:qFormat/>
    <w:pPr>
      <w:ind w:left="1470" w:hanging="210"/>
      <w:jc w:val="left"/>
    </w:pPr>
    <w:rPr>
      <w:rFonts w:ascii="Calibri" w:hAnsi="Calibri"/>
      <w:sz w:val="20"/>
      <w:szCs w:val="20"/>
    </w:rPr>
  </w:style>
  <w:style w:type="paragraph" w:styleId="9">
    <w:name w:val="index 9"/>
    <w:basedOn w:val="afc"/>
    <w:next w:val="afc"/>
    <w:autoRedefine/>
    <w:qFormat/>
    <w:pPr>
      <w:ind w:left="1890" w:hanging="210"/>
      <w:jc w:val="left"/>
    </w:pPr>
    <w:rPr>
      <w:rFonts w:ascii="Calibri" w:hAnsi="Calibri"/>
      <w:sz w:val="20"/>
      <w:szCs w:val="20"/>
    </w:rPr>
  </w:style>
  <w:style w:type="paragraph" w:styleId="TOC2">
    <w:name w:val="toc 2"/>
    <w:basedOn w:val="afc"/>
    <w:next w:val="afc"/>
    <w:autoRedefine/>
    <w:uiPriority w:val="39"/>
    <w:qFormat/>
    <w:pPr>
      <w:tabs>
        <w:tab w:val="right" w:leader="dot" w:pos="9242"/>
      </w:tabs>
    </w:pPr>
    <w:rPr>
      <w:rFonts w:ascii="宋体"/>
      <w:szCs w:val="21"/>
    </w:rPr>
  </w:style>
  <w:style w:type="paragraph" w:styleId="TOC9">
    <w:name w:val="toc 9"/>
    <w:basedOn w:val="afc"/>
    <w:next w:val="afc"/>
    <w:autoRedefine/>
    <w:semiHidden/>
    <w:qFormat/>
    <w:pPr>
      <w:ind w:left="1470"/>
      <w:jc w:val="left"/>
    </w:pPr>
    <w:rPr>
      <w:sz w:val="20"/>
      <w:szCs w:val="20"/>
    </w:rPr>
  </w:style>
  <w:style w:type="paragraph" w:styleId="affc">
    <w:name w:val="Normal (Web)"/>
    <w:basedOn w:val="afc"/>
    <w:autoRedefine/>
    <w:qFormat/>
    <w:pPr>
      <w:spacing w:beforeAutospacing="1" w:afterAutospacing="1"/>
      <w:jc w:val="left"/>
    </w:pPr>
    <w:rPr>
      <w:kern w:val="0"/>
      <w:sz w:val="24"/>
    </w:rPr>
  </w:style>
  <w:style w:type="paragraph" w:styleId="22">
    <w:name w:val="index 2"/>
    <w:basedOn w:val="afc"/>
    <w:next w:val="afc"/>
    <w:autoRedefine/>
    <w:qFormat/>
    <w:pPr>
      <w:ind w:left="420" w:hanging="210"/>
      <w:jc w:val="left"/>
    </w:pPr>
    <w:rPr>
      <w:rFonts w:ascii="Calibri" w:hAnsi="Calibri"/>
      <w:sz w:val="20"/>
      <w:szCs w:val="20"/>
    </w:rPr>
  </w:style>
  <w:style w:type="paragraph" w:styleId="affd">
    <w:name w:val="annotation subject"/>
    <w:basedOn w:val="aff2"/>
    <w:next w:val="aff2"/>
    <w:autoRedefine/>
    <w:semiHidden/>
    <w:qFormat/>
    <w:rPr>
      <w:b/>
      <w:bCs/>
    </w:rPr>
  </w:style>
  <w:style w:type="paragraph" w:styleId="affe">
    <w:name w:val="Body Text First Indent"/>
    <w:basedOn w:val="aff3"/>
    <w:autoRedefine/>
    <w:qFormat/>
    <w:pPr>
      <w:ind w:firstLineChars="100" w:firstLine="420"/>
    </w:pPr>
  </w:style>
  <w:style w:type="table" w:styleId="afff">
    <w:name w:val="Table Grid"/>
    <w:basedOn w:val="afe"/>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fd"/>
    <w:autoRedefine/>
    <w:qFormat/>
    <w:rPr>
      <w:b/>
    </w:r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Emphasis"/>
    <w:autoRedefine/>
    <w:uiPriority w:val="20"/>
    <w:qFormat/>
    <w:rPr>
      <w:i/>
      <w:iCs/>
    </w:rPr>
  </w:style>
  <w:style w:type="character" w:styleId="afff5">
    <w:name w:val="Hyperlink"/>
    <w:autoRedefine/>
    <w:uiPriority w:val="99"/>
    <w:qFormat/>
    <w:rPr>
      <w:color w:val="0000FF"/>
      <w:spacing w:val="0"/>
      <w:w w:val="100"/>
      <w:szCs w:val="21"/>
      <w:u w:val="single"/>
    </w:rPr>
  </w:style>
  <w:style w:type="character" w:styleId="afff6">
    <w:name w:val="annotation reference"/>
    <w:autoRedefine/>
    <w:semiHidden/>
    <w:qFormat/>
    <w:rPr>
      <w:sz w:val="21"/>
      <w:szCs w:val="21"/>
    </w:rPr>
  </w:style>
  <w:style w:type="character" w:styleId="afff7">
    <w:name w:val="footnote reference"/>
    <w:autoRedefine/>
    <w:semiHidden/>
    <w:qFormat/>
    <w:rPr>
      <w:vertAlign w:val="superscript"/>
    </w:rPr>
  </w:style>
  <w:style w:type="paragraph" w:styleId="afff8">
    <w:name w:val="List Paragraph"/>
    <w:basedOn w:val="afc"/>
    <w:autoRedefine/>
    <w:uiPriority w:val="34"/>
    <w:qFormat/>
    <w:pPr>
      <w:ind w:firstLineChars="200" w:firstLine="420"/>
    </w:pPr>
  </w:style>
  <w:style w:type="character" w:styleId="afff9">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a"/>
    <w:autoRedefine/>
    <w:qFormat/>
    <w:rPr>
      <w:rFonts w:ascii="宋体" w:hAnsi="宋体"/>
      <w:kern w:val="2"/>
      <w:sz w:val="18"/>
      <w:szCs w:val="18"/>
      <w:lang w:val="en-US" w:eastAsia="zh-CN" w:bidi="ar-SA"/>
    </w:rPr>
  </w:style>
  <w:style w:type="paragraph" w:customStyle="1" w:styleId="afffa">
    <w:name w:val="首示例"/>
    <w:next w:val="affb"/>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2"/>
    <w:autoRedefine/>
    <w:qFormat/>
    <w:locked/>
    <w:rPr>
      <w:rFonts w:ascii="黑体" w:eastAsia="黑体"/>
      <w:sz w:val="21"/>
      <w:szCs w:val="21"/>
    </w:rPr>
  </w:style>
  <w:style w:type="paragraph" w:customStyle="1" w:styleId="a2">
    <w:name w:val="二级条标题"/>
    <w:basedOn w:val="a1"/>
    <w:next w:val="affb"/>
    <w:link w:val="Char1"/>
    <w:autoRedefine/>
    <w:qFormat/>
    <w:pPr>
      <w:numPr>
        <w:ilvl w:val="2"/>
      </w:numPr>
      <w:spacing w:before="50" w:after="50"/>
      <w:ind w:left="1843"/>
      <w:outlineLvl w:val="3"/>
    </w:pPr>
  </w:style>
  <w:style w:type="paragraph" w:customStyle="1" w:styleId="a1">
    <w:name w:val="一级条标题"/>
    <w:next w:val="affb"/>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3"/>
    <w:autoRedefine/>
    <w:qFormat/>
    <w:rPr>
      <w:rFonts w:ascii="黑体" w:eastAsia="黑体"/>
      <w:sz w:val="21"/>
      <w:szCs w:val="21"/>
    </w:rPr>
  </w:style>
  <w:style w:type="paragraph" w:customStyle="1" w:styleId="a3">
    <w:name w:val="三级条标题"/>
    <w:basedOn w:val="a2"/>
    <w:next w:val="affb"/>
    <w:link w:val="Char2"/>
    <w:autoRedefine/>
    <w:qFormat/>
    <w:pPr>
      <w:numPr>
        <w:ilvl w:val="3"/>
      </w:numPr>
      <w:outlineLvl w:val="4"/>
    </w:pPr>
  </w:style>
  <w:style w:type="character" w:customStyle="1" w:styleId="aff9">
    <w:name w:val="页眉 字符"/>
    <w:link w:val="aff8"/>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b"/>
    <w:link w:val="11"/>
    <w:autoRedefine/>
    <w:qFormat/>
    <w:pPr>
      <w:spacing w:beforeLines="50" w:afterLines="50"/>
      <w:ind w:firstLine="200"/>
    </w:pPr>
    <w:rPr>
      <w:rFonts w:ascii="Cambria Math" w:hAnsi="Cambria Math"/>
      <w:i/>
      <w:sz w:val="28"/>
      <w:szCs w:val="28"/>
    </w:rPr>
  </w:style>
  <w:style w:type="paragraph" w:customStyle="1" w:styleId="afffb">
    <w:name w:val="附录公式"/>
    <w:basedOn w:val="affb"/>
    <w:next w:val="affb"/>
    <w:link w:val="Char3"/>
    <w:autoRedefine/>
    <w:qFormat/>
  </w:style>
  <w:style w:type="character" w:customStyle="1" w:styleId="Char3">
    <w:name w:val="附录公式 Char"/>
    <w:link w:val="afffb"/>
    <w:autoRedefine/>
    <w:qFormat/>
    <w:rPr>
      <w:rFonts w:ascii="宋体"/>
      <w:sz w:val="21"/>
      <w:lang w:val="en-US" w:eastAsia="zh-CN" w:bidi="ar-SA"/>
    </w:rPr>
  </w:style>
  <w:style w:type="character" w:customStyle="1" w:styleId="Char">
    <w:name w:val="段 Char"/>
    <w:link w:val="affb"/>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c">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d">
    <w:name w:val="注×："/>
    <w:autoRedefine/>
    <w:qFormat/>
    <w:pPr>
      <w:widowControl w:val="0"/>
      <w:autoSpaceDE w:val="0"/>
      <w:autoSpaceDN w:val="0"/>
      <w:ind w:left="811" w:hanging="448"/>
      <w:jc w:val="both"/>
    </w:pPr>
    <w:rPr>
      <w:rFonts w:ascii="宋体"/>
      <w:sz w:val="18"/>
      <w:szCs w:val="18"/>
    </w:rPr>
  </w:style>
  <w:style w:type="paragraph" w:customStyle="1" w:styleId="afffe">
    <w:name w:val="参考文献"/>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附录五级无"/>
    <w:basedOn w:val="affff0"/>
    <w:autoRedefine/>
    <w:qFormat/>
    <w:pPr>
      <w:spacing w:beforeLines="0" w:afterLines="0"/>
    </w:pPr>
    <w:rPr>
      <w:rFonts w:ascii="宋体" w:eastAsia="宋体"/>
      <w:szCs w:val="21"/>
    </w:rPr>
  </w:style>
  <w:style w:type="paragraph" w:customStyle="1" w:styleId="affff0">
    <w:name w:val="附录五级条标题"/>
    <w:basedOn w:val="affff1"/>
    <w:next w:val="affb"/>
    <w:autoRedefine/>
    <w:qFormat/>
    <w:pPr>
      <w:outlineLvl w:val="6"/>
    </w:pPr>
  </w:style>
  <w:style w:type="paragraph" w:customStyle="1" w:styleId="affff1">
    <w:name w:val="附录四级条标题"/>
    <w:basedOn w:val="affff2"/>
    <w:next w:val="affb"/>
    <w:autoRedefine/>
    <w:qFormat/>
    <w:pPr>
      <w:outlineLvl w:val="5"/>
    </w:pPr>
  </w:style>
  <w:style w:type="paragraph" w:customStyle="1" w:styleId="affff2">
    <w:name w:val="附录三级条标题"/>
    <w:basedOn w:val="affff3"/>
    <w:next w:val="affb"/>
    <w:autoRedefine/>
    <w:qFormat/>
    <w:pPr>
      <w:outlineLvl w:val="4"/>
    </w:pPr>
  </w:style>
  <w:style w:type="paragraph" w:customStyle="1" w:styleId="affff3">
    <w:name w:val="附录二级条标题"/>
    <w:basedOn w:val="afc"/>
    <w:next w:val="affb"/>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4">
    <w:name w:val="附录标题"/>
    <w:basedOn w:val="affb"/>
    <w:next w:val="affb"/>
    <w:autoRedefine/>
    <w:qFormat/>
    <w:pPr>
      <w:ind w:firstLineChars="0" w:firstLine="0"/>
      <w:jc w:val="center"/>
    </w:pPr>
    <w:rPr>
      <w:rFonts w:ascii="黑体" w:eastAsia="黑体"/>
    </w:rPr>
  </w:style>
  <w:style w:type="paragraph" w:customStyle="1" w:styleId="affff5">
    <w:name w:val="注：（正文）"/>
    <w:basedOn w:val="affff6"/>
    <w:next w:val="affb"/>
    <w:autoRedefine/>
    <w:qFormat/>
  </w:style>
  <w:style w:type="paragraph" w:customStyle="1" w:styleId="affff6">
    <w:name w:val="注："/>
    <w:next w:val="affb"/>
    <w:autoRedefine/>
    <w:qFormat/>
    <w:pPr>
      <w:widowControl w:val="0"/>
      <w:autoSpaceDE w:val="0"/>
      <w:autoSpaceDN w:val="0"/>
      <w:ind w:left="726" w:hanging="363"/>
      <w:jc w:val="both"/>
    </w:pPr>
    <w:rPr>
      <w:rFonts w:ascii="宋体"/>
      <w:sz w:val="18"/>
      <w:szCs w:val="18"/>
    </w:rPr>
  </w:style>
  <w:style w:type="paragraph" w:customStyle="1" w:styleId="affff7">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附录一级无"/>
    <w:basedOn w:val="affff9"/>
    <w:autoRedefine/>
    <w:qFormat/>
    <w:pPr>
      <w:spacing w:beforeLines="0" w:afterLines="0"/>
    </w:pPr>
    <w:rPr>
      <w:rFonts w:ascii="宋体" w:eastAsia="宋体"/>
      <w:szCs w:val="21"/>
    </w:rPr>
  </w:style>
  <w:style w:type="paragraph" w:customStyle="1" w:styleId="affff9">
    <w:name w:val="附录一级条标题"/>
    <w:basedOn w:val="af5"/>
    <w:next w:val="affb"/>
    <w:autoRedefine/>
    <w:qFormat/>
    <w:pPr>
      <w:numPr>
        <w:ilvl w:val="0"/>
        <w:numId w:val="0"/>
      </w:numPr>
      <w:autoSpaceDN w:val="0"/>
      <w:spacing w:beforeLines="50" w:afterLines="50"/>
      <w:outlineLvl w:val="2"/>
    </w:pPr>
  </w:style>
  <w:style w:type="paragraph" w:customStyle="1" w:styleId="af5">
    <w:name w:val="附录章标题"/>
    <w:next w:val="affb"/>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a">
    <w:name w:val="附录三级无"/>
    <w:basedOn w:val="affff2"/>
    <w:autoRedefine/>
    <w:qFormat/>
    <w:pPr>
      <w:spacing w:beforeLines="0" w:afterLines="0"/>
    </w:pPr>
    <w:rPr>
      <w:rFonts w:ascii="宋体" w:eastAsia="宋体"/>
      <w:szCs w:val="21"/>
    </w:rPr>
  </w:style>
  <w:style w:type="paragraph" w:customStyle="1" w:styleId="affffb">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b">
    <w:name w:val="附录数字编号列项（二级）"/>
    <w:autoRedefine/>
    <w:qFormat/>
    <w:pPr>
      <w:numPr>
        <w:ilvl w:val="1"/>
        <w:numId w:val="4"/>
      </w:numPr>
    </w:pPr>
    <w:rPr>
      <w:rFonts w:ascii="宋体"/>
      <w:sz w:val="21"/>
    </w:rPr>
  </w:style>
  <w:style w:type="paragraph" w:customStyle="1" w:styleId="affffc">
    <w:name w:val="标准书眉_偶数页"/>
    <w:basedOn w:val="affffd"/>
    <w:next w:val="afc"/>
    <w:autoRedefine/>
    <w:qFormat/>
    <w:pPr>
      <w:jc w:val="left"/>
    </w:pPr>
  </w:style>
  <w:style w:type="paragraph" w:customStyle="1" w:styleId="affffd">
    <w:name w:val="标准书眉_奇数页"/>
    <w:next w:val="afc"/>
    <w:autoRedefine/>
    <w:qFormat/>
    <w:pPr>
      <w:tabs>
        <w:tab w:val="center" w:pos="4154"/>
        <w:tab w:val="right" w:pos="8306"/>
      </w:tabs>
      <w:spacing w:after="220"/>
      <w:jc w:val="right"/>
    </w:pPr>
    <w:rPr>
      <w:rFonts w:ascii="黑体" w:eastAsia="黑体"/>
      <w:sz w:val="21"/>
      <w:szCs w:val="21"/>
    </w:rPr>
  </w:style>
  <w:style w:type="paragraph" w:customStyle="1" w:styleId="affffe">
    <w:name w:val="发布部门"/>
    <w:next w:val="affb"/>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五级无"/>
    <w:basedOn w:val="afffff0"/>
    <w:autoRedefine/>
    <w:qFormat/>
    <w:pPr>
      <w:spacing w:beforeLines="0" w:afterLines="0"/>
    </w:pPr>
    <w:rPr>
      <w:rFonts w:ascii="宋体" w:eastAsia="宋体"/>
    </w:rPr>
  </w:style>
  <w:style w:type="paragraph" w:customStyle="1" w:styleId="afffff0">
    <w:name w:val="五级条标题"/>
    <w:basedOn w:val="a4"/>
    <w:next w:val="affb"/>
    <w:autoRedefine/>
    <w:qFormat/>
    <w:pPr>
      <w:numPr>
        <w:ilvl w:val="0"/>
        <w:numId w:val="0"/>
      </w:numPr>
      <w:outlineLvl w:val="6"/>
    </w:pPr>
  </w:style>
  <w:style w:type="paragraph" w:customStyle="1" w:styleId="a4">
    <w:name w:val="四级条标题"/>
    <w:basedOn w:val="a3"/>
    <w:next w:val="affb"/>
    <w:autoRedefine/>
    <w:qFormat/>
    <w:pPr>
      <w:numPr>
        <w:ilvl w:val="4"/>
      </w:numPr>
      <w:outlineLvl w:val="5"/>
    </w:pPr>
  </w:style>
  <w:style w:type="paragraph" w:customStyle="1" w:styleId="afffff1">
    <w:name w:val="封面一致性程度标识"/>
    <w:basedOn w:val="afffff2"/>
    <w:autoRedefine/>
    <w:qFormat/>
    <w:pPr>
      <w:framePr w:wrap="around"/>
      <w:spacing w:before="440"/>
    </w:pPr>
    <w:rPr>
      <w:rFonts w:ascii="宋体" w:eastAsia="宋体"/>
    </w:rPr>
  </w:style>
  <w:style w:type="paragraph" w:customStyle="1" w:styleId="afffff2">
    <w:name w:val="封面标准英文名称"/>
    <w:basedOn w:val="affff7"/>
    <w:autoRedefine/>
    <w:qFormat/>
    <w:pPr>
      <w:framePr w:wrap="around"/>
      <w:spacing w:before="370" w:line="400" w:lineRule="exact"/>
    </w:pPr>
    <w:rPr>
      <w:rFonts w:ascii="Times New Roman"/>
      <w:sz w:val="28"/>
      <w:szCs w:val="28"/>
    </w:rPr>
  </w:style>
  <w:style w:type="paragraph" w:customStyle="1" w:styleId="afffff3">
    <w:name w:val="其他发布部门"/>
    <w:basedOn w:val="affffe"/>
    <w:autoRedefine/>
    <w:qFormat/>
    <w:pPr>
      <w:framePr w:wrap="around" w:y="15310"/>
      <w:spacing w:line="0" w:lineRule="atLeast"/>
    </w:pPr>
    <w:rPr>
      <w:rFonts w:ascii="黑体" w:eastAsia="黑体"/>
      <w:b w:val="0"/>
    </w:rPr>
  </w:style>
  <w:style w:type="paragraph" w:customStyle="1" w:styleId="afffff4">
    <w:name w:val="目次、标准名称标题"/>
    <w:basedOn w:val="afc"/>
    <w:next w:val="affb"/>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5">
    <w:name w:val="附录图标号"/>
    <w:basedOn w:val="afc"/>
    <w:autoRedefine/>
    <w:qFormat/>
    <w:pPr>
      <w:keepNext/>
      <w:pageBreakBefore/>
      <w:widowControl/>
      <w:numPr>
        <w:numId w:val="5"/>
      </w:numPr>
      <w:spacing w:line="14" w:lineRule="exact"/>
      <w:jc w:val="center"/>
      <w:outlineLvl w:val="0"/>
    </w:pPr>
    <w:rPr>
      <w:color w:val="FFFFFF"/>
    </w:rPr>
  </w:style>
  <w:style w:type="paragraph" w:customStyle="1" w:styleId="af2">
    <w:name w:val="附录表标题"/>
    <w:basedOn w:val="afc"/>
    <w:next w:val="affb"/>
    <w:autoRedefine/>
    <w:qFormat/>
    <w:pPr>
      <w:numPr>
        <w:ilvl w:val="1"/>
        <w:numId w:val="6"/>
      </w:numPr>
      <w:spacing w:beforeLines="50" w:afterLines="50"/>
      <w:jc w:val="center"/>
    </w:pPr>
    <w:rPr>
      <w:rFonts w:ascii="黑体" w:eastAsia="黑体"/>
      <w:szCs w:val="21"/>
    </w:rPr>
  </w:style>
  <w:style w:type="paragraph" w:customStyle="1" w:styleId="afffff5">
    <w:name w:val="附录公式编号制表符"/>
    <w:basedOn w:val="afc"/>
    <w:next w:val="affb"/>
    <w:autoRedefine/>
    <w:qFormat/>
    <w:pPr>
      <w:widowControl/>
      <w:tabs>
        <w:tab w:val="center" w:pos="4201"/>
        <w:tab w:val="right" w:leader="dot" w:pos="9298"/>
      </w:tabs>
      <w:autoSpaceDE w:val="0"/>
      <w:autoSpaceDN w:val="0"/>
    </w:pPr>
    <w:rPr>
      <w:rFonts w:ascii="宋体"/>
      <w:kern w:val="0"/>
      <w:szCs w:val="20"/>
    </w:rPr>
  </w:style>
  <w:style w:type="paragraph" w:customStyle="1" w:styleId="afffff6">
    <w:name w:val="标准书脚_奇数页"/>
    <w:autoRedefine/>
    <w:qFormat/>
    <w:pPr>
      <w:spacing w:before="120"/>
      <w:ind w:right="198"/>
      <w:jc w:val="right"/>
    </w:pPr>
    <w:rPr>
      <w:rFonts w:ascii="宋体"/>
      <w:sz w:val="18"/>
      <w:szCs w:val="18"/>
    </w:rPr>
  </w:style>
  <w:style w:type="paragraph" w:customStyle="1" w:styleId="afffff7">
    <w:name w:val="附录标识"/>
    <w:basedOn w:val="afc"/>
    <w:next w:val="affb"/>
    <w:autoRedefine/>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
    <w:name w:val="注×：（正文）"/>
    <w:autoRedefine/>
    <w:qFormat/>
    <w:pPr>
      <w:numPr>
        <w:numId w:val="7"/>
      </w:numPr>
      <w:jc w:val="both"/>
    </w:pPr>
    <w:rPr>
      <w:rFonts w:ascii="宋体"/>
      <w:sz w:val="18"/>
      <w:szCs w:val="18"/>
    </w:rPr>
  </w:style>
  <w:style w:type="paragraph" w:customStyle="1" w:styleId="afffff8">
    <w:name w:val="封面标准文稿编辑信息"/>
    <w:basedOn w:val="afffff9"/>
    <w:autoRedefine/>
    <w:qFormat/>
    <w:pPr>
      <w:framePr w:wrap="around"/>
      <w:spacing w:before="180" w:line="180" w:lineRule="exact"/>
    </w:pPr>
    <w:rPr>
      <w:sz w:val="21"/>
    </w:rPr>
  </w:style>
  <w:style w:type="paragraph" w:customStyle="1" w:styleId="afffff9">
    <w:name w:val="封面标准文稿类别"/>
    <w:basedOn w:val="afffff1"/>
    <w:autoRedefine/>
    <w:qFormat/>
    <w:pPr>
      <w:framePr w:wrap="around"/>
      <w:spacing w:after="160" w:line="240" w:lineRule="auto"/>
    </w:pPr>
    <w:rPr>
      <w:sz w:val="24"/>
    </w:rPr>
  </w:style>
  <w:style w:type="paragraph" w:customStyle="1" w:styleId="afffffa">
    <w:name w:val="目次、索引正文"/>
    <w:autoRedefine/>
    <w:qFormat/>
    <w:pPr>
      <w:spacing w:line="320" w:lineRule="exact"/>
      <w:jc w:val="both"/>
    </w:pPr>
    <w:rPr>
      <w:rFonts w:ascii="宋体"/>
      <w:sz w:val="21"/>
    </w:rPr>
  </w:style>
  <w:style w:type="paragraph" w:customStyle="1" w:styleId="a9">
    <w:name w:val="列项◆（三级）"/>
    <w:basedOn w:val="afc"/>
    <w:autoRedefine/>
    <w:qFormat/>
    <w:pPr>
      <w:numPr>
        <w:ilvl w:val="2"/>
        <w:numId w:val="8"/>
      </w:numPr>
    </w:pPr>
    <w:rPr>
      <w:rFonts w:ascii="宋体"/>
      <w:szCs w:val="21"/>
    </w:rPr>
  </w:style>
  <w:style w:type="paragraph" w:customStyle="1" w:styleId="afffffb">
    <w:name w:val="其他标准称谓"/>
    <w:next w:val="afc"/>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附录二级无"/>
    <w:basedOn w:val="affff3"/>
    <w:autoRedefine/>
    <w:qFormat/>
    <w:pPr>
      <w:spacing w:beforeLines="0" w:afterLines="0"/>
    </w:pPr>
    <w:rPr>
      <w:rFonts w:ascii="宋体" w:eastAsia="宋体"/>
      <w:szCs w:val="21"/>
    </w:rPr>
  </w:style>
  <w:style w:type="paragraph" w:customStyle="1" w:styleId="afffffd">
    <w:name w:val="实施日期"/>
    <w:basedOn w:val="afffffe"/>
    <w:autoRedefine/>
    <w:qFormat/>
    <w:pPr>
      <w:framePr w:wrap="around" w:vAnchor="page" w:hAnchor="text"/>
      <w:jc w:val="right"/>
    </w:pPr>
  </w:style>
  <w:style w:type="paragraph" w:customStyle="1" w:styleId="afffffe">
    <w:name w:val="发布日期"/>
    <w:autoRedefine/>
    <w:qFormat/>
    <w:pPr>
      <w:framePr w:w="3997" w:h="471" w:hRule="exact" w:vSpace="181" w:wrap="around" w:hAnchor="page" w:x="7089" w:y="14097" w:anchorLock="1"/>
    </w:pPr>
    <w:rPr>
      <w:rFonts w:eastAsia="黑体"/>
      <w:sz w:val="28"/>
    </w:rPr>
  </w:style>
  <w:style w:type="paragraph" w:customStyle="1" w:styleId="affffff">
    <w:name w:val="列项说明"/>
    <w:basedOn w:val="afc"/>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字母编号列项（一级）"/>
    <w:autoRedefine/>
    <w:qFormat/>
    <w:pPr>
      <w:tabs>
        <w:tab w:val="left" w:pos="840"/>
      </w:tabs>
      <w:ind w:left="839" w:hanging="419"/>
      <w:jc w:val="both"/>
    </w:pPr>
    <w:rPr>
      <w:rFonts w:ascii="宋体"/>
      <w:sz w:val="21"/>
    </w:rPr>
  </w:style>
  <w:style w:type="paragraph" w:customStyle="1" w:styleId="ac">
    <w:name w:val="数字编号列项（二级）"/>
    <w:autoRedefine/>
    <w:qFormat/>
    <w:pPr>
      <w:numPr>
        <w:ilvl w:val="1"/>
        <w:numId w:val="9"/>
      </w:numPr>
      <w:jc w:val="both"/>
    </w:pPr>
    <w:rPr>
      <w:rFonts w:ascii="宋体"/>
      <w:sz w:val="21"/>
    </w:rPr>
  </w:style>
  <w:style w:type="paragraph" w:customStyle="1" w:styleId="affffff1">
    <w:name w:val="图表脚注说明"/>
    <w:basedOn w:val="afc"/>
    <w:autoRedefine/>
    <w:qFormat/>
    <w:pPr>
      <w:ind w:left="544" w:hanging="181"/>
    </w:pPr>
    <w:rPr>
      <w:rFonts w:ascii="宋体"/>
      <w:sz w:val="18"/>
      <w:szCs w:val="18"/>
    </w:rPr>
  </w:style>
  <w:style w:type="paragraph" w:customStyle="1" w:styleId="a8">
    <w:name w:val="列项●（二级）"/>
    <w:autoRedefine/>
    <w:qFormat/>
    <w:pPr>
      <w:numPr>
        <w:ilvl w:val="1"/>
        <w:numId w:val="8"/>
      </w:numPr>
      <w:tabs>
        <w:tab w:val="left" w:pos="840"/>
      </w:tabs>
      <w:jc w:val="both"/>
    </w:pPr>
    <w:rPr>
      <w:rFonts w:ascii="宋体"/>
      <w:sz w:val="21"/>
    </w:rPr>
  </w:style>
  <w:style w:type="paragraph" w:customStyle="1" w:styleId="affffff2">
    <w:name w:val="示例"/>
    <w:next w:val="affffff3"/>
    <w:autoRedefine/>
    <w:qFormat/>
    <w:pPr>
      <w:widowControl w:val="0"/>
      <w:ind w:firstLine="363"/>
      <w:jc w:val="both"/>
    </w:pPr>
    <w:rPr>
      <w:rFonts w:ascii="宋体"/>
      <w:sz w:val="18"/>
      <w:szCs w:val="18"/>
    </w:rPr>
  </w:style>
  <w:style w:type="paragraph" w:customStyle="1" w:styleId="affffff3">
    <w:name w:val="示例内容"/>
    <w:autoRedefine/>
    <w:qFormat/>
    <w:pPr>
      <w:ind w:firstLineChars="200" w:firstLine="200"/>
    </w:pPr>
    <w:rPr>
      <w:rFonts w:ascii="宋体"/>
      <w:sz w:val="18"/>
      <w:szCs w:val="18"/>
    </w:rPr>
  </w:style>
  <w:style w:type="paragraph" w:customStyle="1" w:styleId="CharChar">
    <w:name w:val="Char Char"/>
    <w:basedOn w:val="afc"/>
    <w:autoRedefine/>
    <w:qFormat/>
    <w:rPr>
      <w:rFonts w:ascii="黑体" w:eastAsia="黑体"/>
      <w:sz w:val="36"/>
      <w:szCs w:val="36"/>
    </w:rPr>
  </w:style>
  <w:style w:type="paragraph" w:customStyle="1" w:styleId="CharChar1">
    <w:name w:val="Char Char1"/>
    <w:basedOn w:val="afc"/>
    <w:autoRedefine/>
    <w:qFormat/>
    <w:rPr>
      <w:rFonts w:ascii="黑体" w:eastAsia="黑体"/>
      <w:sz w:val="36"/>
      <w:szCs w:val="36"/>
    </w:rPr>
  </w:style>
  <w:style w:type="paragraph" w:customStyle="1" w:styleId="affffff4">
    <w:name w:val="参考文献、索引标题"/>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正文表标题"/>
    <w:next w:val="affb"/>
    <w:autoRedefine/>
    <w:qFormat/>
    <w:pPr>
      <w:tabs>
        <w:tab w:val="left" w:pos="360"/>
      </w:tabs>
      <w:spacing w:beforeLines="50" w:afterLines="50"/>
      <w:jc w:val="center"/>
    </w:pPr>
    <w:rPr>
      <w:rFonts w:ascii="黑体" w:eastAsia="黑体"/>
      <w:sz w:val="21"/>
    </w:rPr>
  </w:style>
  <w:style w:type="paragraph" w:customStyle="1" w:styleId="affffff6">
    <w:name w:val="二级无"/>
    <w:basedOn w:val="a2"/>
    <w:autoRedefine/>
    <w:qFormat/>
    <w:pPr>
      <w:spacing w:beforeLines="0" w:afterLines="0"/>
      <w:ind w:left="0"/>
    </w:pPr>
    <w:rPr>
      <w:rFonts w:ascii="宋体" w:eastAsia="宋体"/>
    </w:rPr>
  </w:style>
  <w:style w:type="paragraph" w:customStyle="1" w:styleId="affffff7">
    <w:name w:val="图标脚注说明"/>
    <w:basedOn w:val="affb"/>
    <w:autoRedefine/>
    <w:qFormat/>
    <w:pPr>
      <w:ind w:left="840" w:firstLineChars="0" w:hanging="420"/>
    </w:pPr>
    <w:rPr>
      <w:sz w:val="18"/>
      <w:szCs w:val="18"/>
    </w:rPr>
  </w:style>
  <w:style w:type="paragraph" w:customStyle="1" w:styleId="affffff8">
    <w:name w:val="其他标准标志"/>
    <w:basedOn w:val="affffff9"/>
    <w:autoRedefine/>
    <w:qFormat/>
    <w:pPr>
      <w:framePr w:w="6101" w:wrap="around" w:vAnchor="page" w:hAnchor="page" w:x="4673" w:y="942"/>
    </w:pPr>
    <w:rPr>
      <w:w w:val="130"/>
    </w:rPr>
  </w:style>
  <w:style w:type="paragraph" w:customStyle="1" w:styleId="affffff9">
    <w:name w:val="标准标志"/>
    <w:next w:val="afc"/>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一致性程度标识2"/>
    <w:basedOn w:val="afffff1"/>
    <w:autoRedefine/>
    <w:qFormat/>
    <w:pPr>
      <w:framePr w:wrap="around" w:y="4469"/>
    </w:pPr>
  </w:style>
  <w:style w:type="paragraph" w:customStyle="1" w:styleId="affffffa">
    <w:name w:val="标准书眉一"/>
    <w:autoRedefine/>
    <w:qFormat/>
    <w:pPr>
      <w:jc w:val="both"/>
    </w:pPr>
  </w:style>
  <w:style w:type="paragraph" w:customStyle="1" w:styleId="affffffb">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a">
    <w:name w:val="附录字母编号列项（一级）"/>
    <w:autoRedefine/>
    <w:qFormat/>
    <w:pPr>
      <w:numPr>
        <w:numId w:val="4"/>
      </w:numPr>
    </w:pPr>
    <w:rPr>
      <w:rFonts w:ascii="宋体"/>
      <w:sz w:val="21"/>
    </w:rPr>
  </w:style>
  <w:style w:type="paragraph" w:customStyle="1" w:styleId="ad">
    <w:name w:val="编号列项（三级）"/>
    <w:autoRedefine/>
    <w:qFormat/>
    <w:pPr>
      <w:numPr>
        <w:ilvl w:val="2"/>
        <w:numId w:val="9"/>
      </w:numPr>
    </w:pPr>
    <w:rPr>
      <w:rFonts w:ascii="宋体"/>
      <w:sz w:val="21"/>
    </w:rPr>
  </w:style>
  <w:style w:type="paragraph" w:customStyle="1" w:styleId="affffffc">
    <w:name w:val="正文公式编号制表符"/>
    <w:basedOn w:val="affb"/>
    <w:next w:val="affb"/>
    <w:autoRedefine/>
    <w:qFormat/>
    <w:pPr>
      <w:ind w:firstLineChars="0" w:firstLine="0"/>
    </w:pPr>
  </w:style>
  <w:style w:type="paragraph" w:customStyle="1" w:styleId="affffffd">
    <w:name w:val="列项——（一级）"/>
    <w:autoRedefine/>
    <w:qFormat/>
    <w:pPr>
      <w:widowControl w:val="0"/>
      <w:ind w:left="833" w:hanging="408"/>
      <w:jc w:val="both"/>
    </w:pPr>
    <w:rPr>
      <w:rFonts w:ascii="宋体"/>
      <w:sz w:val="21"/>
    </w:rPr>
  </w:style>
  <w:style w:type="paragraph" w:customStyle="1" w:styleId="affffffe">
    <w:name w:val="四级无"/>
    <w:basedOn w:val="a4"/>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
    <w:name w:val="附录四级无"/>
    <w:basedOn w:val="affff1"/>
    <w:autoRedefine/>
    <w:qFormat/>
    <w:pPr>
      <w:spacing w:beforeLines="0" w:afterLines="0"/>
    </w:pPr>
    <w:rPr>
      <w:rFonts w:ascii="宋体" w:eastAsia="宋体"/>
      <w:szCs w:val="21"/>
    </w:rPr>
  </w:style>
  <w:style w:type="paragraph" w:customStyle="1" w:styleId="25">
    <w:name w:val="封面标准英文名称2"/>
    <w:basedOn w:val="afffff2"/>
    <w:autoRedefine/>
    <w:qFormat/>
    <w:pPr>
      <w:framePr w:wrap="around" w:y="4469"/>
    </w:pPr>
  </w:style>
  <w:style w:type="paragraph" w:customStyle="1" w:styleId="26">
    <w:name w:val="封面标准文稿类别2"/>
    <w:basedOn w:val="afffff9"/>
    <w:autoRedefine/>
    <w:qFormat/>
    <w:pPr>
      <w:framePr w:wrap="around" w:y="4469"/>
    </w:pPr>
  </w:style>
  <w:style w:type="paragraph" w:customStyle="1" w:styleId="afffffff0">
    <w:name w:val="示例×："/>
    <w:basedOn w:val="a0"/>
    <w:autoRedefine/>
    <w:qFormat/>
    <w:pPr>
      <w:numPr>
        <w:numId w:val="0"/>
      </w:numPr>
      <w:spacing w:beforeLines="0" w:afterLines="0"/>
      <w:ind w:firstLine="363"/>
      <w:outlineLvl w:val="9"/>
    </w:pPr>
    <w:rPr>
      <w:rFonts w:ascii="宋体" w:eastAsia="宋体"/>
      <w:sz w:val="18"/>
      <w:szCs w:val="18"/>
    </w:rPr>
  </w:style>
  <w:style w:type="paragraph" w:customStyle="1" w:styleId="a0">
    <w:name w:val="章标题"/>
    <w:next w:val="affb"/>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6">
    <w:name w:val="附录图标题"/>
    <w:basedOn w:val="afc"/>
    <w:next w:val="affb"/>
    <w:autoRedefine/>
    <w:qFormat/>
    <w:pPr>
      <w:numPr>
        <w:ilvl w:val="1"/>
        <w:numId w:val="5"/>
      </w:numPr>
      <w:spacing w:beforeLines="50" w:afterLines="50"/>
      <w:jc w:val="center"/>
    </w:pPr>
    <w:rPr>
      <w:rFonts w:ascii="黑体" w:eastAsia="黑体"/>
      <w:szCs w:val="21"/>
    </w:rPr>
  </w:style>
  <w:style w:type="paragraph" w:customStyle="1" w:styleId="afffffff1">
    <w:name w:val="其他实施日期"/>
    <w:basedOn w:val="afffffd"/>
    <w:autoRedefine/>
    <w:qFormat/>
    <w:pPr>
      <w:framePr w:wrap="around" w:vAnchor="margin" w:hAnchor="page"/>
    </w:pPr>
  </w:style>
  <w:style w:type="paragraph" w:customStyle="1" w:styleId="afffffff2">
    <w:name w:val="三级无"/>
    <w:basedOn w:val="a3"/>
    <w:autoRedefine/>
    <w:qFormat/>
    <w:pPr>
      <w:spacing w:beforeLines="0" w:afterLines="0"/>
    </w:pPr>
    <w:rPr>
      <w:rFonts w:ascii="宋体" w:eastAsia="宋体"/>
    </w:rPr>
  </w:style>
  <w:style w:type="paragraph" w:customStyle="1" w:styleId="27">
    <w:name w:val="封面标准名称2"/>
    <w:basedOn w:val="affff7"/>
    <w:autoRedefine/>
    <w:qFormat/>
    <w:pPr>
      <w:framePr w:wrap="around" w:y="4469"/>
      <w:spacing w:beforeLines="630"/>
    </w:pPr>
  </w:style>
  <w:style w:type="paragraph" w:customStyle="1" w:styleId="afffffff3">
    <w:name w:val="正文图标题"/>
    <w:next w:val="affb"/>
    <w:autoRedefine/>
    <w:qFormat/>
    <w:pPr>
      <w:tabs>
        <w:tab w:val="left" w:pos="360"/>
      </w:tabs>
      <w:spacing w:beforeLines="50" w:afterLines="50"/>
      <w:jc w:val="center"/>
    </w:pPr>
    <w:rPr>
      <w:rFonts w:ascii="黑体" w:eastAsia="黑体"/>
      <w:sz w:val="21"/>
    </w:rPr>
  </w:style>
  <w:style w:type="paragraph" w:customStyle="1" w:styleId="afffffff4">
    <w:name w:val="示例后文字"/>
    <w:basedOn w:val="affb"/>
    <w:next w:val="affb"/>
    <w:autoRedefine/>
    <w:qFormat/>
    <w:pPr>
      <w:ind w:firstLine="360"/>
    </w:pPr>
    <w:rPr>
      <w:sz w:val="18"/>
    </w:rPr>
  </w:style>
  <w:style w:type="paragraph" w:customStyle="1" w:styleId="afffffff5">
    <w:name w:val="其他发布日期"/>
    <w:basedOn w:val="afffffe"/>
    <w:autoRedefine/>
    <w:qFormat/>
    <w:pPr>
      <w:framePr w:wrap="around" w:vAnchor="page" w:hAnchor="text" w:x="1419"/>
    </w:pPr>
  </w:style>
  <w:style w:type="paragraph" w:customStyle="1" w:styleId="28">
    <w:name w:val="封面标准文稿编辑信息2"/>
    <w:basedOn w:val="afffff8"/>
    <w:autoRedefine/>
    <w:qFormat/>
    <w:pPr>
      <w:framePr w:wrap="around" w:y="4469"/>
    </w:pPr>
  </w:style>
  <w:style w:type="paragraph" w:customStyle="1" w:styleId="afffffff6">
    <w:name w:val="一级无"/>
    <w:basedOn w:val="a1"/>
    <w:autoRedefine/>
    <w:qFormat/>
    <w:pPr>
      <w:spacing w:before="156" w:after="156"/>
    </w:pPr>
    <w:rPr>
      <w:rFonts w:ascii="Times New Roman" w:eastAsia="宋体"/>
      <w:color w:val="000000"/>
    </w:rPr>
  </w:style>
  <w:style w:type="paragraph" w:customStyle="1" w:styleId="TOC10">
    <w:name w:val="TOC 标题1"/>
    <w:basedOn w:val="1"/>
    <w:next w:val="afc"/>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1">
    <w:name w:val="附录表标号"/>
    <w:basedOn w:val="afc"/>
    <w:next w:val="affb"/>
    <w:autoRedefine/>
    <w:qFormat/>
    <w:pPr>
      <w:numPr>
        <w:numId w:val="6"/>
      </w:numPr>
      <w:spacing w:line="14" w:lineRule="exact"/>
      <w:jc w:val="center"/>
      <w:outlineLvl w:val="0"/>
    </w:pPr>
    <w:rPr>
      <w:color w:val="FFFFFF"/>
    </w:rPr>
  </w:style>
  <w:style w:type="paragraph" w:customStyle="1" w:styleId="afffffff8">
    <w:name w:val="标准称谓"/>
    <w:next w:val="afc"/>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9">
    <w:name w:val="标准书脚_偶数页"/>
    <w:autoRedefine/>
    <w:qFormat/>
    <w:pPr>
      <w:spacing w:before="120"/>
      <w:ind w:left="221"/>
    </w:pPr>
    <w:rPr>
      <w:rFonts w:ascii="宋体"/>
      <w:sz w:val="18"/>
      <w:szCs w:val="18"/>
    </w:rPr>
  </w:style>
  <w:style w:type="paragraph" w:customStyle="1" w:styleId="afffffffa">
    <w:name w:val="条文脚注"/>
    <w:basedOn w:val="aa"/>
    <w:autoRedefine/>
    <w:qFormat/>
    <w:pPr>
      <w:numPr>
        <w:numId w:val="0"/>
      </w:numPr>
      <w:jc w:val="both"/>
    </w:pPr>
  </w:style>
  <w:style w:type="paragraph" w:customStyle="1" w:styleId="afffffffb">
    <w:name w:val="列项说明数字编号"/>
    <w:autoRedefine/>
    <w:qFormat/>
    <w:pPr>
      <w:ind w:leftChars="400" w:left="600" w:hangingChars="200" w:hanging="200"/>
    </w:pPr>
    <w:rPr>
      <w:rFonts w:ascii="宋体"/>
      <w:sz w:val="21"/>
    </w:rPr>
  </w:style>
  <w:style w:type="paragraph" w:customStyle="1" w:styleId="afffffffc">
    <w:name w:val="终结线"/>
    <w:basedOn w:val="afc"/>
    <w:autoRedefine/>
    <w:qFormat/>
    <w:pPr>
      <w:framePr w:hSpace="181" w:vSpace="181" w:wrap="around" w:vAnchor="text" w:hAnchor="margin" w:xAlign="center" w:y="285"/>
    </w:pPr>
  </w:style>
  <w:style w:type="paragraph" w:customStyle="1" w:styleId="afffffffd">
    <w:name w:val="前言、引言标题"/>
    <w:next w:val="affb"/>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e">
    <w:name w:val="图的脚注"/>
    <w:next w:val="affb"/>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7">
    <w:name w:val="页脚 字符"/>
    <w:link w:val="aff6"/>
    <w:autoRedefine/>
    <w:uiPriority w:val="99"/>
    <w:qFormat/>
    <w:rPr>
      <w:kern w:val="2"/>
      <w:sz w:val="18"/>
      <w:szCs w:val="18"/>
    </w:rPr>
  </w:style>
  <w:style w:type="paragraph" w:customStyle="1" w:styleId="TOC20">
    <w:name w:val="TOC 标题2"/>
    <w:basedOn w:val="1"/>
    <w:next w:val="afc"/>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d"/>
    <w:link w:val="20"/>
    <w:autoRedefine/>
    <w:uiPriority w:val="99"/>
    <w:qFormat/>
    <w:rPr>
      <w:rFonts w:eastAsia="PMingLiU"/>
      <w:kern w:val="2"/>
      <w:sz w:val="24"/>
      <w:szCs w:val="24"/>
      <w:lang w:eastAsia="zh-TW"/>
    </w:rPr>
  </w:style>
  <w:style w:type="paragraph" w:customStyle="1" w:styleId="affffffff">
    <w:name w:val="标准文件_段"/>
    <w:autoRedefine/>
    <w:qFormat/>
    <w:pPr>
      <w:autoSpaceDE w:val="0"/>
      <w:autoSpaceDN w:val="0"/>
      <w:ind w:firstLineChars="200" w:firstLine="200"/>
      <w:jc w:val="both"/>
    </w:pPr>
    <w:rPr>
      <w:rFonts w:ascii="宋体"/>
      <w:sz w:val="21"/>
    </w:rPr>
  </w:style>
  <w:style w:type="paragraph" w:customStyle="1" w:styleId="affffffff0">
    <w:name w:val="标准文件_术语条一"/>
    <w:basedOn w:val="affffffff1"/>
    <w:next w:val="affffffff"/>
    <w:autoRedefine/>
    <w:qFormat/>
  </w:style>
  <w:style w:type="paragraph" w:customStyle="1" w:styleId="affffffff1">
    <w:name w:val="标准文件_一级无标题"/>
    <w:basedOn w:val="af7"/>
    <w:autoRedefine/>
    <w:qFormat/>
    <w:pPr>
      <w:spacing w:beforeLines="0" w:before="0" w:afterLines="0" w:after="0"/>
      <w:outlineLvl w:val="9"/>
    </w:pPr>
    <w:rPr>
      <w:rFonts w:ascii="宋体" w:eastAsia="宋体"/>
    </w:rPr>
  </w:style>
  <w:style w:type="paragraph" w:customStyle="1" w:styleId="af7">
    <w:name w:val="标准文件_一级条标题"/>
    <w:basedOn w:val="af6"/>
    <w:next w:val="affffffff"/>
    <w:autoRedefine/>
    <w:qFormat/>
    <w:pPr>
      <w:numPr>
        <w:ilvl w:val="2"/>
      </w:numPr>
      <w:spacing w:beforeLines="50" w:before="50" w:afterLines="50" w:after="50"/>
      <w:outlineLvl w:val="1"/>
    </w:pPr>
  </w:style>
  <w:style w:type="paragraph" w:customStyle="1" w:styleId="af6">
    <w:name w:val="标准文件_章标题"/>
    <w:next w:val="affffffff"/>
    <w:autoRedefine/>
    <w:qFormat/>
    <w:pPr>
      <w:numPr>
        <w:ilvl w:val="1"/>
        <w:numId w:val="10"/>
      </w:numPr>
      <w:spacing w:beforeLines="100" w:before="100" w:afterLines="100" w:after="100"/>
      <w:jc w:val="both"/>
      <w:outlineLvl w:val="0"/>
    </w:pPr>
    <w:rPr>
      <w:rFonts w:ascii="黑体" w:eastAsia="黑体"/>
      <w:sz w:val="21"/>
    </w:rPr>
  </w:style>
  <w:style w:type="paragraph" w:customStyle="1" w:styleId="af">
    <w:name w:val="标准文件_正文图标题"/>
    <w:next w:val="affffffff"/>
    <w:autoRedefine/>
    <w:qFormat/>
    <w:pPr>
      <w:numPr>
        <w:numId w:val="11"/>
      </w:numPr>
      <w:spacing w:beforeLines="50" w:before="50" w:afterLines="50" w:after="50"/>
      <w:jc w:val="center"/>
    </w:pPr>
    <w:rPr>
      <w:rFonts w:ascii="黑体" w:eastAsia="黑体"/>
      <w:sz w:val="21"/>
    </w:rPr>
  </w:style>
  <w:style w:type="paragraph" w:customStyle="1" w:styleId="af8">
    <w:name w:val="标准文件_二级条标题"/>
    <w:next w:val="affffffff"/>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3">
    <w:name w:val="标准文件_正文表标题"/>
    <w:next w:val="affffffff"/>
    <w:autoRedefine/>
    <w:qFormat/>
    <w:pPr>
      <w:numPr>
        <w:numId w:val="12"/>
      </w:numPr>
      <w:tabs>
        <w:tab w:val="left" w:pos="0"/>
      </w:tabs>
      <w:spacing w:beforeLines="50" w:before="50" w:afterLines="50" w:after="50"/>
      <w:jc w:val="center"/>
    </w:pPr>
    <w:rPr>
      <w:rFonts w:ascii="黑体" w:eastAsia="黑体"/>
      <w:sz w:val="21"/>
    </w:rPr>
  </w:style>
  <w:style w:type="paragraph" w:customStyle="1" w:styleId="affffffff2">
    <w:name w:val="标准文件_表格"/>
    <w:basedOn w:val="affffffff"/>
    <w:autoRedefine/>
    <w:qFormat/>
    <w:pPr>
      <w:ind w:firstLineChars="0" w:firstLine="0"/>
      <w:jc w:val="center"/>
    </w:pPr>
    <w:rPr>
      <w:sz w:val="18"/>
    </w:rPr>
  </w:style>
  <w:style w:type="paragraph" w:customStyle="1" w:styleId="af9">
    <w:name w:val="标准文件_三级条标题"/>
    <w:basedOn w:val="af8"/>
    <w:next w:val="affffffff"/>
    <w:autoRedefine/>
    <w:qFormat/>
    <w:pPr>
      <w:widowControl/>
      <w:numPr>
        <w:ilvl w:val="4"/>
      </w:numPr>
      <w:outlineLvl w:val="3"/>
    </w:pPr>
  </w:style>
  <w:style w:type="paragraph" w:customStyle="1" w:styleId="affffffff3">
    <w:name w:val="标准文件_二级无标题"/>
    <w:basedOn w:val="af8"/>
    <w:autoRedefine/>
    <w:qFormat/>
    <w:pPr>
      <w:spacing w:beforeLines="0" w:before="0" w:afterLines="0" w:after="0"/>
      <w:outlineLvl w:val="9"/>
    </w:pPr>
    <w:rPr>
      <w:rFonts w:ascii="宋体" w:eastAsia="宋体"/>
    </w:rPr>
  </w:style>
  <w:style w:type="paragraph" w:customStyle="1" w:styleId="ab">
    <w:name w:val="标准文件_字母编号列项（一级）"/>
    <w:autoRedefine/>
    <w:qFormat/>
    <w:pPr>
      <w:numPr>
        <w:numId w:val="9"/>
      </w:numPr>
      <w:jc w:val="both"/>
    </w:pPr>
    <w:rPr>
      <w:rFonts w:ascii="宋体"/>
      <w:sz w:val="21"/>
    </w:rPr>
  </w:style>
  <w:style w:type="table" w:customStyle="1" w:styleId="TableNormal">
    <w:name w:val="Table Normal"/>
    <w:basedOn w:val="afe"/>
    <w:autoRedefine/>
    <w:qFormat/>
    <w:rPr>
      <w:rFonts w:eastAsia="Times New Roman"/>
    </w:rPr>
    <w:tblPr>
      <w:tblCellMar>
        <w:left w:w="0" w:type="dxa"/>
        <w:right w:w="0" w:type="dxa"/>
      </w:tblCellMar>
    </w:tblPr>
  </w:style>
  <w:style w:type="character" w:customStyle="1" w:styleId="15">
    <w:name w:val="15"/>
    <w:basedOn w:val="afd"/>
    <w:autoRedefine/>
    <w:qFormat/>
    <w:rPr>
      <w:rFonts w:ascii="等线" w:eastAsia="等线" w:hAnsi="等线" w:hint="eastAsia"/>
      <w:sz w:val="21"/>
      <w:szCs w:val="21"/>
    </w:rPr>
  </w:style>
  <w:style w:type="paragraph" w:customStyle="1" w:styleId="ae">
    <w:name w:val="标准文件_附录图标号"/>
    <w:basedOn w:val="affffffff"/>
    <w:next w:val="affffffff"/>
    <w:autoRedefine/>
    <w:qFormat/>
    <w:pPr>
      <w:numPr>
        <w:numId w:val="13"/>
      </w:numPr>
      <w:spacing w:line="14" w:lineRule="exact"/>
      <w:ind w:firstLineChars="0" w:firstLine="0"/>
      <w:jc w:val="center"/>
    </w:pPr>
    <w:rPr>
      <w:rFonts w:ascii="黑体" w:eastAsia="黑体" w:hAnsi="黑体"/>
      <w:vanish/>
      <w:sz w:val="2"/>
      <w:szCs w:val="21"/>
    </w:rPr>
  </w:style>
  <w:style w:type="paragraph" w:customStyle="1" w:styleId="af0">
    <w:name w:val="标准文件_附录表标号"/>
    <w:basedOn w:val="affffffff"/>
    <w:next w:val="affffffff"/>
    <w:autoRedefine/>
    <w:qFormat/>
    <w:pPr>
      <w:numPr>
        <w:numId w:val="14"/>
      </w:numPr>
      <w:spacing w:line="14" w:lineRule="exact"/>
      <w:ind w:firstLineChars="0" w:firstLine="0"/>
      <w:jc w:val="center"/>
    </w:pPr>
    <w:rPr>
      <w:rFonts w:eastAsia="黑体"/>
      <w:vanish/>
      <w:sz w:val="2"/>
    </w:rPr>
  </w:style>
  <w:style w:type="paragraph" w:customStyle="1" w:styleId="af4">
    <w:name w:val="标准文件_附录标识"/>
    <w:next w:val="affffffff"/>
    <w:autoRedefine/>
    <w:qFormat/>
    <w:pPr>
      <w:numPr>
        <w:numId w:val="3"/>
      </w:numPr>
      <w:shd w:val="clear" w:color="FFFFFF" w:fill="FFFFFF"/>
      <w:tabs>
        <w:tab w:val="left" w:pos="6406"/>
      </w:tabs>
      <w:spacing w:before="560" w:afterLines="50" w:after="50"/>
      <w:jc w:val="center"/>
      <w:outlineLvl w:val="0"/>
    </w:pPr>
    <w:rPr>
      <w:rFonts w:ascii="黑体" w:eastAsia="黑体"/>
      <w:sz w:val="21"/>
    </w:rPr>
  </w:style>
  <w:style w:type="paragraph" w:customStyle="1" w:styleId="affffffff4">
    <w:name w:val="标准文件_附录一级条标题"/>
    <w:next w:val="affffffff"/>
    <w:autoRedefine/>
    <w:qFormat/>
    <w:pPr>
      <w:widowControl w:val="0"/>
      <w:spacing w:beforeLines="50" w:before="50" w:afterLines="50" w:after="50"/>
      <w:jc w:val="both"/>
      <w:outlineLvl w:val="2"/>
    </w:pPr>
    <w:rPr>
      <w:rFonts w:ascii="黑体" w:eastAsia="黑体"/>
      <w:kern w:val="21"/>
      <w:sz w:val="21"/>
    </w:rPr>
  </w:style>
  <w:style w:type="paragraph" w:customStyle="1" w:styleId="affffffff5">
    <w:name w:val="标准文件_附录二级条标题"/>
    <w:basedOn w:val="affffffff4"/>
    <w:next w:val="affffffff"/>
    <w:autoRedefine/>
    <w:qFormat/>
    <w:pPr>
      <w:widowControl/>
      <w:numPr>
        <w:ilvl w:val="2"/>
      </w:numPr>
      <w:wordWrap w:val="0"/>
      <w:overflowPunct w:val="0"/>
      <w:autoSpaceDE w:val="0"/>
      <w:autoSpaceDN w:val="0"/>
      <w:textAlignment w:val="baseline"/>
      <w:outlineLvl w:val="3"/>
    </w:pPr>
  </w:style>
  <w:style w:type="paragraph" w:customStyle="1" w:styleId="16">
    <w:name w:val="列表段落1"/>
    <w:basedOn w:val="afc"/>
    <w:autoRedefine/>
    <w:qFormat/>
    <w:pPr>
      <w:ind w:firstLineChars="200" w:firstLine="420"/>
    </w:pPr>
  </w:style>
  <w:style w:type="paragraph" w:customStyle="1" w:styleId="TableText">
    <w:name w:val="Table Text"/>
    <w:basedOn w:val="afc"/>
    <w:autoRedefine/>
    <w:semiHidden/>
    <w:qFormat/>
    <w:rPr>
      <w:rFonts w:ascii="宋体" w:hAnsi="宋体" w:cs="宋体"/>
      <w:szCs w:val="21"/>
      <w:lang w:eastAsia="en-US"/>
    </w:rPr>
  </w:style>
  <w:style w:type="paragraph" w:customStyle="1" w:styleId="a7">
    <w:name w:val="标准文件_一级项"/>
    <w:autoRedefine/>
    <w:qFormat/>
    <w:pPr>
      <w:numPr>
        <w:numId w:val="8"/>
      </w:numPr>
    </w:pPr>
    <w:rPr>
      <w:rFonts w:ascii="宋体"/>
      <w:sz w:val="21"/>
    </w:rPr>
  </w:style>
  <w:style w:type="paragraph" w:customStyle="1" w:styleId="affffffff6">
    <w:name w:val="标准文件_三级无标题"/>
    <w:basedOn w:val="af9"/>
    <w:autoRedefine/>
    <w:qFormat/>
    <w:p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02_GZBD标准模板</Template>
  <TotalTime>5</TotalTime>
  <Pages>4</Pages>
  <Words>1673</Words>
  <Characters>2125</Characters>
  <Application>Microsoft Office Word</Application>
  <DocSecurity>0</DocSecurity>
  <Lines>81</Lines>
  <Paragraphs>130</Paragraphs>
  <ScaleCrop>false</ScaleCrop>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cp:lastPrinted>2018-07-04T02:56:00Z</cp:lastPrinted>
  <dcterms:created xsi:type="dcterms:W3CDTF">2020-10-14T08:16:00Z</dcterms:created>
  <dcterms:modified xsi:type="dcterms:W3CDTF">2025-11-03T13:21:00Z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CA63D4E9CAF04B35810FBA0026F626AF</vt:lpwstr>
  </property>
  <property fmtid="{D5CDD505-2E9C-101B-9397-08002B2CF9AE}" pid="4" name="KSOTemplateDocerSaveRecord">
    <vt:lpwstr>eyJoZGlkIjoiYzUxZGViZjc0ZGQ4MjQxYjk3MGQ5MjE3NTUxMjY3OGUiLCJ1c2VySWQiOiIxNzU4MTgyOTM4In0=</vt:lpwstr>
  </property>
</Properties>
</file>