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5C301">
      <w:pPr>
        <w:adjustRightInd w:val="0"/>
        <w:snapToGrid w:val="0"/>
        <w:spacing w:before="0" w:after="0" w:line="360" w:lineRule="auto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《绝缘子智能化监测技术导则》</w:t>
      </w:r>
    </w:p>
    <w:p w14:paraId="19B5C302">
      <w:pPr>
        <w:adjustRightInd w:val="0"/>
        <w:snapToGrid w:val="0"/>
        <w:spacing w:before="0" w:after="0" w:line="360" w:lineRule="auto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（征求意见稿）编制说明</w:t>
      </w:r>
    </w:p>
    <w:p w14:paraId="19B5C303">
      <w:pPr>
        <w:adjustRightInd w:val="0"/>
        <w:spacing w:before="156" w:beforeLines="50" w:after="156" w:afterLines="50" w:line="360" w:lineRule="auto"/>
        <w:outlineLv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一、工作简况</w:t>
      </w:r>
    </w:p>
    <w:p w14:paraId="19B5C304">
      <w:pPr>
        <w:adjustRightInd w:val="0"/>
        <w:spacing w:before="0" w:after="0" w:line="360" w:lineRule="auto"/>
        <w:outlineLvl w:val="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（一）任务来源</w:t>
      </w:r>
    </w:p>
    <w:p w14:paraId="19B5C305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color w:val="0000FF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由中国电子节能技术协会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归口管理的</w:t>
      </w:r>
      <w:r>
        <w:rPr>
          <w:rFonts w:hint="eastAsia" w:ascii="宋体" w:hAnsi="宋体" w:eastAsia="宋体" w:cs="宋体"/>
          <w:sz w:val="24"/>
          <w:highlight w:val="none"/>
        </w:rPr>
        <w:t>《绝缘子智能化监测技术导则》（计划号：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CWDPA 2025077</w:t>
      </w:r>
      <w:r>
        <w:rPr>
          <w:rFonts w:hint="eastAsia" w:ascii="宋体" w:hAnsi="宋体" w:eastAsia="宋体" w:cs="宋体"/>
          <w:sz w:val="24"/>
          <w:highlight w:val="none"/>
        </w:rPr>
        <w:t>）的编制工作。</w:t>
      </w:r>
    </w:p>
    <w:p w14:paraId="19B5C306">
      <w:pPr>
        <w:adjustRightInd w:val="0"/>
        <w:spacing w:before="0" w:after="0" w:line="360" w:lineRule="auto"/>
        <w:outlineLvl w:val="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（二）主要工作过程</w:t>
      </w:r>
    </w:p>
    <w:p w14:paraId="11A3CC51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2025年11月，起草单位组建了《绝缘子智能化监测技术导则》标准编制组，明确了各成员单位职责，召开首次工作会议，确定标准编制大纲和总体进度计划。随后，编制组多次召开工作会议，采用现场勘察、技术与项目调研、文献查阅、行业座谈等多种方式开展调查研究，对我国绝缘子运行监测的技术现状、关键技术路线、性能指标及应用需求进行了系统分析。重点开展了输电线路、变电站及配网系统的实际应用调研，收集了不同类型和使用年限的绝缘子运行数据及典型故障案例。在调研过程中，编制组对多源监测数据、传感器性能、数据传输与存储、诊断算法及健康评估方法进行了深入分析，梳理了绝缘子在不同运行环境和工况下的状态特征及影响因素，评估了智能监测技术在运行安全、故障预警及寿命预测方面的应用价值。同时，编制组对国内外相关标准、技术导则和研究成果进行了系统比对，参考先进监测系统设计理念、数据处理方法及健康评估模型，结合我国输电与变电设备运行实践，提出了监测系统构成、技术要求、数据处理与健康评估方法等核心内容。</w:t>
      </w:r>
    </w:p>
    <w:p w14:paraId="398B7DB7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充分调研和分析的基础上，编制组于2025年11月开始撰写标准草案，并组织召开技术内容研讨会，重点讨论与技术要求相匹配的监测指标、性能评价方法及验证手段。撰写过程中，成员结合调研成果和行业实际情况，对标准各章节内容进行了多轮讨论、修改和完善，确保标准的科学性、适用性和可操作性。经过内部多轮审核和完善，于2025年11月，编制组形成了《绝缘子智能化监测技术导则》标准的征求意见稿。</w:t>
      </w:r>
    </w:p>
    <w:p w14:paraId="19B5C30A">
      <w:pPr>
        <w:adjustRightInd w:val="0"/>
        <w:spacing w:before="156" w:beforeLines="50" w:after="156" w:afterLines="50" w:line="360" w:lineRule="auto"/>
        <w:outlineLvl w:val="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二、标准编制原则和确定主要内容的依据及解决的主要问题</w:t>
      </w:r>
    </w:p>
    <w:p w14:paraId="19B5C30B">
      <w:pPr>
        <w:adjustRightInd w:val="0"/>
        <w:spacing w:before="0" w:after="0" w:line="360" w:lineRule="auto"/>
        <w:outlineLvl w:val="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（一）编制背景和意义</w:t>
      </w:r>
    </w:p>
    <w:p w14:paraId="36F11407">
      <w:pPr>
        <w:adjustRightInd w:val="0"/>
        <w:spacing w:before="0" w:after="0" w:line="360" w:lineRule="auto"/>
        <w:ind w:firstLine="480" w:firstLineChars="200"/>
        <w:outlineLvl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1.编制背景</w:t>
      </w:r>
    </w:p>
    <w:p w14:paraId="403CCFA8">
      <w:pPr>
        <w:numPr>
          <w:ilvl w:val="0"/>
          <w:numId w:val="0"/>
        </w:num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绝缘子是输电线路和变电设备的重要组成部件，承担支撑导线、保证电气绝缘及设备安全运行的关键功能。随着我国电力系统向超高压、特高压及智能化方向发展，绝缘子长期服役环境复杂多变，其运行状态直接影响电网安全和供电可靠性。绝缘子智能化监测技术通过部署多参数传感器、数据采集与传输系统及智能分析平台，实现对电气、环境和机械状态的连续在线监测，为绝缘子健康评估、状态诊断和寿命预测提供数据支撑。行业整体具有以下特点：</w:t>
      </w:r>
    </w:p>
    <w:p w14:paraId="5130CDB2">
      <w:pPr>
        <w:numPr>
          <w:ilvl w:val="0"/>
          <w:numId w:val="1"/>
        </w:num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运行环境多样、参数耦合：绝缘子长期暴露于风雨、灰尘、盐雾及其他环境因素，同时承受机械负荷和电应力影响，运行状态受多因素耦合作用制约，参数维度丰富。</w:t>
      </w:r>
    </w:p>
    <w:p w14:paraId="0D13DCFA">
      <w:pPr>
        <w:numPr>
          <w:ilvl w:val="0"/>
          <w:numId w:val="1"/>
        </w:num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监测需求多维、数据量大：绝缘子健康状态评估涉及电气、机械和环境多方面参数，需要对温湿度、泄漏电流、局部放电、振动及污秽等多源数据进行连续采集与分析。</w:t>
      </w:r>
    </w:p>
    <w:p w14:paraId="0F16A0AB">
      <w:pPr>
        <w:numPr>
          <w:ilvl w:val="0"/>
          <w:numId w:val="1"/>
        </w:num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智能化技术发展迅速：随着传感器技术、物联网通信、数据处理及人工智能算法的快速发展，绝缘子智能化监测技术已具备在线监测、异常识别、趋势预测和健康评估能力，满足现代电网对精细化运维和可靠性管理的需求。</w:t>
      </w:r>
    </w:p>
    <w:p w14:paraId="64115196">
      <w:pPr>
        <w:numPr>
          <w:ilvl w:val="0"/>
          <w:numId w:val="1"/>
        </w:num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政策与行业发展压力显著：在《“十四五”智能电网发展规划》等政策推动下，电网设备健康管理、智能化巡检和运维优化成为重点任务。绝缘子智能化监测技术的推广应用，有助于实现电网设备精细化管理、减少故障停电风险、优化运维资源配置并提升电网运行可靠性。</w:t>
      </w:r>
    </w:p>
    <w:p w14:paraId="6385D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然而，目前行业在</w:t>
      </w:r>
      <w:r>
        <w:rPr>
          <w:rFonts w:hint="eastAsia" w:ascii="宋体" w:hAnsi="宋体" w:eastAsia="宋体" w:cs="宋体"/>
          <w:sz w:val="24"/>
          <w:lang w:val="en-US" w:eastAsia="zh-CN"/>
        </w:rPr>
        <w:t>大压比离心式热泵机组的设计、制造和性能评价方面</w:t>
      </w:r>
      <w:r>
        <w:rPr>
          <w:rFonts w:hint="eastAsia" w:ascii="宋体" w:hAnsi="宋体" w:eastAsia="宋体" w:cs="宋体"/>
          <w:sz w:val="24"/>
        </w:rPr>
        <w:t>仍以通用标准为主，存在以下问题：</w:t>
      </w:r>
    </w:p>
    <w:p w14:paraId="213AD4AF">
      <w:pPr>
        <w:numPr>
          <w:ilvl w:val="0"/>
          <w:numId w:val="2"/>
        </w:num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标准适用性不足。现行相关标准主要针对传统巡检和定期试验方法，对于在线监测、多参数融合及智能化健康评估的系统性能缺乏统一要求，难以全面覆盖不同运行环境、不同类型绝缘子及复杂工况下的监测需求。</w:t>
      </w:r>
    </w:p>
    <w:p w14:paraId="184A11B5">
      <w:pPr>
        <w:numPr>
          <w:ilvl w:val="0"/>
          <w:numId w:val="2"/>
        </w:num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试验与检测方法不统一。不同企业或科研机构在传感器选型、布点方式、数据采集频率及精度、异常数据处理及标定方法方面存在显著差异，导致监测结果可比性低，系统性能评估缺乏科学依据。部分测试条件与实际运行工况不匹配，使得监测系统的可靠性和准确性难以保证。</w:t>
      </w:r>
    </w:p>
    <w:p w14:paraId="1B59E815">
      <w:pPr>
        <w:numPr>
          <w:ilvl w:val="0"/>
          <w:numId w:val="2"/>
        </w:numPr>
        <w:adjustRightInd w:val="0"/>
        <w:spacing w:before="0" w:after="0"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关键部件技术要求不明确。绝缘子在线监测系统涉及传感器性能、数据采集与传输模块、电源管理、智能分析平台等关键部件，但现有标准对这些关键部件的性能指标、兼容性及系统集成要求缺乏明确规范，影响系统长期稳定运行和监测精度。</w:t>
      </w:r>
    </w:p>
    <w:p w14:paraId="28D0CB16">
      <w:pPr>
        <w:numPr>
          <w:ilvl w:val="0"/>
          <w:numId w:val="2"/>
        </w:numPr>
        <w:adjustRightInd w:val="0"/>
        <w:spacing w:before="0" w:after="0"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数据处理与健康评估方法缺乏统一规范。不同厂商和科研单位采用的异常识别、趋势预测及健康指数计算方法差异较大，缺少统一的数据算法、模型验证及精度评估标准，限制了系统在电网运维中的可靠应用和跨系统比较能力。</w:t>
      </w:r>
    </w:p>
    <w:p w14:paraId="19B5C315">
      <w:pPr>
        <w:adjustRightInd w:val="0"/>
        <w:spacing w:before="0" w:after="0" w:line="360" w:lineRule="auto"/>
        <w:ind w:firstLine="480" w:firstLineChars="200"/>
        <w:outlineLvl w:val="2"/>
      </w:pPr>
      <w:r>
        <w:rPr>
          <w:rFonts w:hint="eastAsia" w:ascii="宋体" w:hAnsi="宋体" w:eastAsia="宋体" w:cs="宋体"/>
          <w:sz w:val="24"/>
        </w:rPr>
        <w:t>2.编制意义</w:t>
      </w:r>
    </w:p>
    <w:p w14:paraId="3401F82A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1）提升电网运行安全性与可靠性</w:t>
      </w:r>
    </w:p>
    <w:p w14:paraId="68D463E3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标准针对绝缘子智能化监测技术的应用，明确了多参数在线监测、健康评估及故障预警的技术要求，为电网运行单位提供统一的技术指导。通过标准化规范系统设计、传感器性能、数据采集及分析方法，可及时识别绝缘子潜在风险，降低运行事故发生率，保障输变电线路安全与供电可靠性。</w:t>
      </w:r>
    </w:p>
    <w:p w14:paraId="702DED7E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2）为绝缘子监测系统设计与实施提供统一依据</w:t>
      </w:r>
    </w:p>
    <w:p w14:paraId="798B403E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标准为监测系统的研发、设计、安装及运维提供统一规范，涵盖关键技术指标、模块接口、电源及防护要求等内容。通过标准实施，可提升系统设计和制造的一致性与可靠性，推动绝缘子智能化监测设备从试点应用向大规模部署发展，促进行业技术水平整体提升。</w:t>
      </w:r>
    </w:p>
    <w:p w14:paraId="3E4D499B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3）为数据分析、健康评估及寿命预测提供科学指导</w:t>
      </w:r>
    </w:p>
    <w:p w14:paraId="3AE89EE3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标准明确了数据预处理、特征提取、异常识别、趋势预测及健康指数计算的技术要求，为电力企业、科研机构及第三方检测单位提供统一的数据处理与评估方法。建立可比、可复现的健康评估体系，有助于提升监测数据的权威性与可追溯性，为设备维护、故障预警及检修决策提供可靠技术支撑。</w:t>
      </w:r>
    </w:p>
    <w:p w14:paraId="47C15CC3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4）推动智能运维与电网高质量发展</w:t>
      </w:r>
    </w:p>
    <w:p w14:paraId="52A12385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通过标准化手段促进绝缘子智能化监测系统的广泛应用，可实现运行状态可视化、故障预警自动化及寿命管理科学化，优化运维资源配置，降低运维成本。同时，标准的实施将推动电网向智能化、数字化方向发展，提高输变电设备管理效率和可靠性，助力电力系统高质量、绿色、稳定运行。</w:t>
      </w:r>
    </w:p>
    <w:p w14:paraId="19B5C31C">
      <w:pPr>
        <w:adjustRightInd w:val="0"/>
        <w:spacing w:before="0" w:after="0" w:line="360" w:lineRule="auto"/>
        <w:outlineLvl w:val="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（二）标准编制原则和依据</w:t>
      </w:r>
    </w:p>
    <w:p w14:paraId="19B5C31D">
      <w:pPr>
        <w:adjustRightInd w:val="0"/>
        <w:spacing w:before="0" w:after="0"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本标准编制遵循适配性、协调性、科学性、创新性等原则。</w:t>
      </w:r>
    </w:p>
    <w:p w14:paraId="19B5C31E">
      <w:pPr>
        <w:adjustRightInd w:val="0"/>
        <w:spacing w:before="0" w:after="0" w:line="360" w:lineRule="auto"/>
        <w:ind w:firstLine="480" w:firstLineChars="200"/>
        <w:outlineLvl w:val="2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1.行业适配性原则</w:t>
      </w:r>
    </w:p>
    <w:p w14:paraId="439CA20D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绝缘子智能化监测技术涉及输变电线路及变电设备的电气、环境和机械状态在线监测，系统结构复杂、监测参数多样。为保证标准的适用性，本标准在充分调研典型输电线路及变电站设备基础上，提出了针对传感器性能、数据采集与通信、电源与防护、数据处理与健康评估等环节的统一技术要求。</w:t>
      </w:r>
    </w:p>
    <w:p w14:paraId="644BCB14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标准重点明确了监测系统各模块及关键技术指标的核算范围，包括前端感知单元、数据采集与传输单元、数据分析平台及可视化终端等。从系统安装、运行到维护全过程的技术要求均需覆盖。同时，针对不同环境条件（如温度、湿度、风速及污染水平），标准提出了数据采集频率、精度要求及健康指数评估方法，以全面反映绝缘子在实际运行工况下的健康状态。标准还明确了典型重点监测指标及性能评价参数，如泄漏电流、污秽电导率、局部放电、振动及温度分布，为系统设计、故障预警及寿命管理提供基础依据。</w:t>
      </w:r>
    </w:p>
    <w:p w14:paraId="19B5C320">
      <w:pPr>
        <w:adjustRightInd w:val="0"/>
        <w:spacing w:before="0" w:after="0" w:line="360" w:lineRule="auto"/>
        <w:ind w:firstLine="480" w:firstLineChars="200"/>
        <w:outlineLvl w:val="2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2.协调性原则</w:t>
      </w:r>
    </w:p>
    <w:p w14:paraId="19B5C321">
      <w:pPr>
        <w:adjustRightInd w:val="0"/>
        <w:spacing w:before="0" w:after="0"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本标准与现行国家及行业标准充分衔接，包括GB/T 2900.8</w:t>
      </w:r>
      <w:r>
        <w:rPr>
          <w:rFonts w:hint="eastAsia" w:ascii="宋体" w:hAnsi="宋体" w:eastAsia="宋体" w:cs="宋体"/>
          <w:sz w:val="24"/>
          <w:lang w:eastAsia="zh-CN"/>
        </w:rPr>
        <w:t>《</w:t>
      </w:r>
      <w:r>
        <w:rPr>
          <w:rFonts w:hint="eastAsia" w:ascii="宋体" w:hAnsi="宋体" w:eastAsia="宋体" w:cs="宋体"/>
          <w:sz w:val="24"/>
        </w:rPr>
        <w:t>电工术语 绝缘子</w:t>
      </w:r>
      <w:r>
        <w:rPr>
          <w:rFonts w:hint="eastAsia" w:ascii="宋体" w:hAnsi="宋体" w:eastAsia="宋体" w:cs="宋体"/>
          <w:sz w:val="24"/>
          <w:lang w:eastAsia="zh-CN"/>
        </w:rPr>
        <w:t>》、</w:t>
      </w:r>
      <w:r>
        <w:rPr>
          <w:rFonts w:hint="eastAsia" w:ascii="宋体" w:hAnsi="宋体" w:eastAsia="宋体" w:cs="宋体"/>
          <w:sz w:val="24"/>
        </w:rPr>
        <w:t>GB/T 4208《外壳防护等级（IP代码）》</w:t>
      </w:r>
      <w:r>
        <w:rPr>
          <w:rFonts w:hint="eastAsia" w:ascii="宋体" w:hAnsi="宋体" w:eastAsia="宋体" w:cs="宋体"/>
          <w:sz w:val="24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</w:rPr>
        <w:t>GB/T 18802.11《低压电涌保护器（SPD） 第11部分：低压电源系统的电涌保护器 性能要求和试验方法》等，避免技术内容发生重复或冲突；同时，借鉴国际先进经验，确保标准技术水平与国际接轨。</w:t>
      </w:r>
    </w:p>
    <w:p w14:paraId="19B5C322">
      <w:pPr>
        <w:adjustRightInd w:val="0"/>
        <w:spacing w:before="0" w:after="0" w:line="360" w:lineRule="auto"/>
        <w:ind w:firstLine="480" w:firstLineChars="200"/>
        <w:outlineLvl w:val="2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3.科学性原则</w:t>
      </w:r>
    </w:p>
    <w:p w14:paraId="6248AEE3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本标准采用“传感器技术+数据采集与分析+健康指数评估”相结合的方法，强调数据可追溯性、分析逻辑完整性及健康评估模型的合理性，以确保监测数据的准确性和异常识别的可靠性。标准对性能指标、试验条件和数据处理方法均进行了系统设计，保证监测结果可复现、可比较。</w:t>
      </w:r>
    </w:p>
    <w:p w14:paraId="19B5C324">
      <w:pPr>
        <w:adjustRightInd w:val="0"/>
        <w:spacing w:before="0" w:after="0" w:line="360" w:lineRule="auto"/>
        <w:ind w:firstLine="480" w:firstLineChars="200"/>
        <w:outlineLvl w:val="2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4.创新性原则</w:t>
      </w:r>
    </w:p>
    <w:p w14:paraId="7CE9D6EE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标准针对智能化监测技术特点，首次系统提出多参数融合健康评估方法、趋势预测及可视化报告生成要求，填补了绝缘子在线监测技术标准空白。通过将传感技术、数据分析、健康评估及远程运维相结合，推动绝缘子运行状态管理的智能化、数字化和科学化发展。</w:t>
      </w:r>
    </w:p>
    <w:p w14:paraId="19B5C326">
      <w:pPr>
        <w:numPr>
          <w:ilvl w:val="0"/>
          <w:numId w:val="3"/>
        </w:numPr>
        <w:adjustRightInd w:val="0"/>
        <w:spacing w:before="0" w:after="0"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标准主要内容</w:t>
      </w:r>
    </w:p>
    <w:p w14:paraId="19B5C327">
      <w:pPr>
        <w:adjustRightInd w:val="0"/>
        <w:spacing w:before="0" w:after="0"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本标准主要内容包括：范围、规范性引用文件、术语和定义、系统构成与功能</w:t>
      </w:r>
      <w:r>
        <w:rPr>
          <w:rFonts w:hint="eastAsia" w:ascii="宋体" w:hAnsi="宋体" w:eastAsia="宋体" w:cs="宋体"/>
          <w:sz w:val="24"/>
          <w:lang w:eastAsia="zh-CN"/>
        </w:rPr>
        <w:t>、技术要求、</w:t>
      </w:r>
      <w:r>
        <w:rPr>
          <w:rFonts w:hint="eastAsia" w:ascii="宋体" w:hAnsi="宋体" w:eastAsia="宋体" w:cs="宋体"/>
          <w:sz w:val="24"/>
          <w:lang w:val="en-US" w:eastAsia="zh-CN"/>
        </w:rPr>
        <w:t>试验方法、系统实施与维护。</w:t>
      </w:r>
    </w:p>
    <w:p w14:paraId="19B5C328">
      <w:pPr>
        <w:numPr>
          <w:ilvl w:val="0"/>
          <w:numId w:val="4"/>
        </w:numPr>
        <w:adjustRightInd w:val="0"/>
        <w:spacing w:before="0" w:after="0" w:line="360" w:lineRule="auto"/>
        <w:ind w:firstLine="480" w:firstLineChars="200"/>
        <w:outlineLvl w:val="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范围：</w:t>
      </w:r>
      <w:r>
        <w:rPr>
          <w:rFonts w:hint="eastAsia" w:ascii="宋体" w:hAnsi="宋体" w:eastAsia="宋体" w:cs="宋体"/>
          <w:sz w:val="24"/>
        </w:rPr>
        <w:t>该部分明确标准编制目的及适用范围。</w:t>
      </w:r>
    </w:p>
    <w:p w14:paraId="1691CE75">
      <w:pPr>
        <w:numPr>
          <w:ilvl w:val="0"/>
          <w:numId w:val="4"/>
        </w:numPr>
        <w:adjustRightInd w:val="0"/>
        <w:spacing w:before="0" w:after="0" w:line="360" w:lineRule="auto"/>
        <w:ind w:firstLine="480" w:firstLineChars="200"/>
        <w:outlineLvl w:val="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规范性引用文件：该部分列出标准实施所需的现行标准，涵盖电力设备、传感器技术、通信与数据安全、环境试验及电气安全等领域。</w:t>
      </w:r>
    </w:p>
    <w:p w14:paraId="19B5C32A">
      <w:pPr>
        <w:numPr>
          <w:ilvl w:val="0"/>
          <w:numId w:val="4"/>
        </w:numPr>
        <w:adjustRightInd w:val="0"/>
        <w:spacing w:before="0" w:after="0" w:line="360" w:lineRule="auto"/>
        <w:ind w:firstLine="480" w:firstLineChars="200"/>
        <w:outlineLvl w:val="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术语和定义：该部分界定了核心术语。</w:t>
      </w:r>
    </w:p>
    <w:p w14:paraId="04F4B051">
      <w:pPr>
        <w:numPr>
          <w:ilvl w:val="0"/>
          <w:numId w:val="4"/>
        </w:numPr>
        <w:adjustRightInd w:val="0"/>
        <w:spacing w:before="0" w:after="0" w:line="360" w:lineRule="auto"/>
        <w:ind w:firstLine="480" w:firstLineChars="200"/>
        <w:outlineLvl w:val="1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</w:rPr>
        <w:t>系统构成与功能：该部分明确智能化监测系统各模块组成及主要功能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25C8D457">
      <w:pPr>
        <w:numPr>
          <w:ilvl w:val="0"/>
          <w:numId w:val="4"/>
        </w:numPr>
        <w:adjustRightInd w:val="0"/>
        <w:spacing w:before="0" w:after="0" w:line="360" w:lineRule="auto"/>
        <w:ind w:firstLine="480" w:firstLineChars="200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none"/>
        </w:rPr>
        <w:t>技术要求：该部分</w:t>
      </w:r>
      <w:r>
        <w:rPr>
          <w:rFonts w:ascii="宋体" w:hAnsi="宋体" w:eastAsia="宋体" w:cs="宋体"/>
          <w:sz w:val="24"/>
          <w:szCs w:val="24"/>
        </w:rPr>
        <w:t>规定系统</w:t>
      </w:r>
      <w:r>
        <w:rPr>
          <w:rFonts w:ascii="宋体" w:hAnsi="宋体" w:eastAsia="宋体" w:cs="宋体"/>
          <w:sz w:val="24"/>
          <w:szCs w:val="24"/>
        </w:rPr>
        <w:t>的技术指标及性能要求。</w:t>
      </w:r>
    </w:p>
    <w:p w14:paraId="074413CA">
      <w:pPr>
        <w:numPr>
          <w:ilvl w:val="0"/>
          <w:numId w:val="4"/>
        </w:numPr>
        <w:adjustRightInd w:val="0"/>
        <w:spacing w:before="0" w:after="0" w:line="360" w:lineRule="auto"/>
        <w:ind w:firstLine="480" w:firstLineChars="200"/>
        <w:outlineLvl w:val="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试验方法：该部分明确</w:t>
      </w:r>
      <w:r>
        <w:rPr>
          <w:rFonts w:ascii="宋体" w:hAnsi="宋体" w:eastAsia="宋体" w:cs="宋体"/>
          <w:sz w:val="24"/>
          <w:szCs w:val="24"/>
        </w:rPr>
        <w:t>各类性能及关键指标的试验方法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19B5C32F">
      <w:pPr>
        <w:numPr>
          <w:ilvl w:val="0"/>
          <w:numId w:val="4"/>
        </w:numPr>
        <w:adjustRightInd w:val="0"/>
        <w:spacing w:before="0" w:after="0" w:line="360" w:lineRule="auto"/>
        <w:ind w:firstLine="480" w:firstLineChars="200"/>
        <w:outlineLvl w:val="1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  <w:szCs w:val="24"/>
        </w:rPr>
        <w:t>系统实施与维护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ascii="宋体" w:hAnsi="宋体" w:eastAsia="宋体" w:cs="宋体"/>
          <w:sz w:val="24"/>
          <w:szCs w:val="24"/>
        </w:rPr>
        <w:t>该部分提出智能化监测系统安装、调试、运行、日常维护及升级优化等要求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9B5C330">
      <w:pPr>
        <w:adjustRightInd w:val="0"/>
        <w:spacing w:before="156" w:beforeLines="50" w:after="156" w:afterLines="50" w:line="360" w:lineRule="auto"/>
        <w:outlineLvl w:val="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三、主要实验或验证的分析、综述报告、技术经济论证，预期的经济效果</w:t>
      </w:r>
    </w:p>
    <w:p w14:paraId="09223E56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编制组通过对输电线路、变电站以及典型山区、沿海高污秽等复杂环境的运行情况进行调研，系统收集了不同类型绝缘子在高湿、高盐雾、强紫外辐射及大温差条件下的运行与老化数据。重点开展了智能监测系统的多参数传感器可靠性验证、无线通信稳定性验证、数据同步精度测试、电气性能测试（包括泄漏电流与局部放电监测）、环境适应性及长期运行验证。结果表明，智能监测系统在多种复杂环境下能够保持稳定运行，传感器采集数据具有良好一致性，通信与数据传输可靠，监测算法可有效识别绝缘子早期劣化特征，系统整体性能符合长期在线监测要求。</w:t>
      </w:r>
    </w:p>
    <w:p w14:paraId="12FEFF86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通过对国内外相关研究文献、专利及电力行业实践案例的综合分析，明确了绝缘子智能化监测技术的发展趋势、关键技术方向及典型应用模式。研究表明，当前技术正由单参数监测向多维融合诊断发展，由周期性检测向实时在线监测转变。主要技术路径涵盖光纤传感、电磁感应及低功耗无线传输等方案，核心创新点集中在监测精度、能耗优化、抗干扰性能与智能算法等方面。对比分析表明，目前仍缺乏覆盖绝缘子全寿命周期的系统化技术导则，因此制定本标准对统一技术体系、明确性能指标及促进产业协同具有重要意义。</w:t>
      </w:r>
    </w:p>
    <w:p w14:paraId="35EFF297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结合典型输电线路与变电站的工程应用实践，编制组对智能监测系统的技术可行性与经济性进行了综合论证。结果显示，系统的应用可实现绝缘子状态的持续监测和早期预警，显著提高故障发现效率，减少人工巡检频次与维护工作量，降低因绝缘劣化引发的电网运行风险。总体上，系统建设投入具有良好的投入产出比，能够在合理周期内收回投资成本，具备广泛推广价值。</w:t>
      </w:r>
    </w:p>
    <w:p w14:paraId="3FCE3B9C">
      <w:pPr>
        <w:adjustRightInd w:val="0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标准实施后，将推动绝缘子监测模式由被动巡检向主动感知与智能诊断转变，促进监测设备的标准化、模块化与互联互通，提升传感、通信、分析等关键环节的协同水平。通过建立统一的技术要求与验证体系，可增强输电设备的运行安全性和全寿命周期管理能力，减少运维风险，提高供电系统的可靠性与智能化水平。该标准的推广应用将为智慧电网建设、输电线路数字化升级及电力行业智能运维提供重要支撑，具有显著的经济与社会效益。</w:t>
      </w:r>
    </w:p>
    <w:p w14:paraId="19B5C333">
      <w:pPr>
        <w:numPr>
          <w:ilvl w:val="0"/>
          <w:numId w:val="5"/>
        </w:numPr>
        <w:adjustRightInd w:val="0"/>
        <w:spacing w:before="156" w:beforeLines="50" w:after="156" w:afterLines="50" w:line="360" w:lineRule="auto"/>
        <w:outlineLvl w:val="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知识产权情况说明</w:t>
      </w:r>
    </w:p>
    <w:p w14:paraId="19B5C334">
      <w:pPr>
        <w:adjustRightInd w:val="0"/>
        <w:spacing w:before="0" w:after="0"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无。</w:t>
      </w:r>
    </w:p>
    <w:p w14:paraId="19B5C335">
      <w:pPr>
        <w:numPr>
          <w:ilvl w:val="0"/>
          <w:numId w:val="5"/>
        </w:numPr>
        <w:adjustRightInd w:val="0"/>
        <w:spacing w:before="156" w:beforeLines="50" w:after="156" w:afterLines="50" w:line="360" w:lineRule="auto"/>
        <w:outlineLvl w:val="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采用国际标准和国外先进标准情况，与国际、国外同类标准水平的对比情况</w:t>
      </w:r>
    </w:p>
    <w:p w14:paraId="19B5C336">
      <w:pPr>
        <w:adjustRightInd w:val="0"/>
        <w:spacing w:before="0" w:after="0"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无。</w:t>
      </w:r>
    </w:p>
    <w:p w14:paraId="19B5C337">
      <w:pPr>
        <w:numPr>
          <w:ilvl w:val="0"/>
          <w:numId w:val="5"/>
        </w:numPr>
        <w:adjustRightInd w:val="0"/>
        <w:spacing w:before="156" w:beforeLines="50" w:after="156" w:afterLines="50" w:line="360" w:lineRule="auto"/>
        <w:outlineLvl w:val="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与现行相关法律、法规、规章及相关标准，特别是强制性标准的协调性</w:t>
      </w:r>
    </w:p>
    <w:p w14:paraId="19B5C338">
      <w:pPr>
        <w:adjustRightInd w:val="0"/>
        <w:spacing w:before="0" w:after="0"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本标准与现行国家标准如GB/T 2900.8《电工术语 绝缘子》、GB/T 4208《外壳防护等级（IP代码）》及GB/T 18802.11《低压电涌保护器（SPD） 第11部分：低压电源系统的电涌保护器 性能要求和试验方法》等协调一致，与现行相关法律、法规、规章协调一致。</w:t>
      </w:r>
    </w:p>
    <w:p w14:paraId="19B5C339">
      <w:pPr>
        <w:numPr>
          <w:ilvl w:val="0"/>
          <w:numId w:val="5"/>
        </w:numPr>
        <w:adjustRightInd w:val="0"/>
        <w:spacing w:before="156" w:beforeLines="50" w:after="156" w:afterLines="50" w:line="360" w:lineRule="auto"/>
        <w:outlineLvl w:val="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重大分歧意见的处理经过和依据</w:t>
      </w:r>
    </w:p>
    <w:p w14:paraId="19B5C33A">
      <w:pPr>
        <w:adjustRightInd w:val="0"/>
        <w:spacing w:before="0" w:after="0"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本标准制定过程中无重大分歧意见。</w:t>
      </w:r>
    </w:p>
    <w:p w14:paraId="19B5C33B">
      <w:pPr>
        <w:numPr>
          <w:ilvl w:val="0"/>
          <w:numId w:val="5"/>
        </w:numPr>
        <w:adjustRightInd w:val="0"/>
        <w:spacing w:before="156" w:beforeLines="50" w:after="156" w:afterLines="50" w:line="360" w:lineRule="auto"/>
        <w:outlineLvl w:val="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标准性质的建议说明</w:t>
      </w:r>
    </w:p>
    <w:p w14:paraId="19B5C33C">
      <w:pPr>
        <w:adjustRightInd w:val="0"/>
        <w:spacing w:before="0" w:after="0"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行业推荐性质标准。</w:t>
      </w:r>
    </w:p>
    <w:p w14:paraId="19B5C33D">
      <w:pPr>
        <w:numPr>
          <w:ilvl w:val="0"/>
          <w:numId w:val="5"/>
        </w:numPr>
        <w:adjustRightInd w:val="0"/>
        <w:spacing w:before="156" w:beforeLines="50" w:after="156" w:afterLines="50" w:line="360" w:lineRule="auto"/>
        <w:outlineLvl w:val="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贯彻标准的要求和措施建议</w:t>
      </w:r>
    </w:p>
    <w:p w14:paraId="19B5C33E">
      <w:pPr>
        <w:adjustRightInd w:val="0"/>
        <w:spacing w:before="0" w:after="0" w:line="360" w:lineRule="auto"/>
        <w:ind w:firstLine="480" w:firstLineChars="200"/>
      </w:pPr>
      <w:r>
        <w:rPr>
          <w:rFonts w:hint="eastAsia" w:ascii="宋体" w:hAnsi="宋体" w:eastAsia="宋体" w:cs="宋体"/>
          <w:sz w:val="24"/>
        </w:rPr>
        <w:t>建议本标准在发布后即开始实施。</w:t>
      </w:r>
    </w:p>
    <w:p w14:paraId="19B5C33F">
      <w:pPr>
        <w:numPr>
          <w:ilvl w:val="0"/>
          <w:numId w:val="5"/>
        </w:numPr>
        <w:adjustRightInd w:val="0"/>
        <w:spacing w:before="156" w:beforeLines="50" w:after="156" w:afterLines="50" w:line="360" w:lineRule="auto"/>
        <w:outlineLvl w:val="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替代或废止现行相关标准的建议</w:t>
      </w:r>
    </w:p>
    <w:p w14:paraId="19B5C340">
      <w:pPr>
        <w:adjustRightInd w:val="0"/>
        <w:spacing w:before="0" w:after="0"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本标准无替代或废止现行国家/行业标准的内容。</w:t>
      </w:r>
    </w:p>
    <w:p w14:paraId="19B5C341">
      <w:pPr>
        <w:numPr>
          <w:ilvl w:val="0"/>
          <w:numId w:val="5"/>
        </w:numPr>
        <w:adjustRightInd w:val="0"/>
        <w:spacing w:before="156" w:beforeLines="50" w:after="156" w:afterLines="50" w:line="360" w:lineRule="auto"/>
        <w:outlineLvl w:val="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其他应予说明的事项</w:t>
      </w:r>
    </w:p>
    <w:p w14:paraId="19B5C342">
      <w:pPr>
        <w:adjustRightInd w:val="0"/>
        <w:spacing w:before="0" w:after="0"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无。</w:t>
      </w:r>
    </w:p>
    <w:p w14:paraId="19B5C343">
      <w:pPr>
        <w:adjustRightInd w:val="0"/>
        <w:spacing w:before="0" w:after="0"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19B5C344">
      <w:pPr>
        <w:adjustRightInd w:val="0"/>
        <w:spacing w:before="0" w:after="0" w:line="360" w:lineRule="auto"/>
        <w:ind w:firstLine="480" w:firstLineChars="200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《绝缘子智能化监测技术导则》编制工作组</w:t>
      </w:r>
    </w:p>
    <w:p w14:paraId="19B5C345">
      <w:pPr>
        <w:adjustRightInd w:val="0"/>
        <w:spacing w:before="0" w:after="0" w:line="360" w:lineRule="auto"/>
        <w:ind w:firstLine="480" w:firstLineChars="200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2025年</w:t>
      </w:r>
      <w:r>
        <w:rPr>
          <w:rFonts w:hint="eastAsia" w:ascii="宋体" w:hAnsi="宋体" w:eastAsia="宋体" w:cs="宋体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0FF5B"/>
    <w:multiLevelType w:val="singleLevel"/>
    <w:tmpl w:val="88B0FF5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9C5B596"/>
    <w:multiLevelType w:val="singleLevel"/>
    <w:tmpl w:val="C9C5B59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A5A9C77"/>
    <w:multiLevelType w:val="singleLevel"/>
    <w:tmpl w:val="CA5A9C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0F8F6FD"/>
    <w:multiLevelType w:val="singleLevel"/>
    <w:tmpl w:val="10F8F6FD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210279CC"/>
    <w:multiLevelType w:val="singleLevel"/>
    <w:tmpl w:val="210279C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51D77"/>
    <w:rsid w:val="00132C15"/>
    <w:rsid w:val="001A132B"/>
    <w:rsid w:val="005B28F7"/>
    <w:rsid w:val="007D2FE2"/>
    <w:rsid w:val="00AE3974"/>
    <w:rsid w:val="00C471B8"/>
    <w:rsid w:val="00D15001"/>
    <w:rsid w:val="00D33122"/>
    <w:rsid w:val="04682BF3"/>
    <w:rsid w:val="05FE3860"/>
    <w:rsid w:val="12402A22"/>
    <w:rsid w:val="1B791C33"/>
    <w:rsid w:val="259D6446"/>
    <w:rsid w:val="2BF0212F"/>
    <w:rsid w:val="2EE01381"/>
    <w:rsid w:val="2FB4678F"/>
    <w:rsid w:val="377A27E9"/>
    <w:rsid w:val="3F151D77"/>
    <w:rsid w:val="4D6B7897"/>
    <w:rsid w:val="52360595"/>
    <w:rsid w:val="5C204013"/>
    <w:rsid w:val="5CB06720"/>
    <w:rsid w:val="5FE64BF0"/>
    <w:rsid w:val="65657B68"/>
    <w:rsid w:val="667946A8"/>
    <w:rsid w:val="6FC0720B"/>
    <w:rsid w:val="72603895"/>
    <w:rsid w:val="73B6195E"/>
    <w:rsid w:val="74FE1AF7"/>
    <w:rsid w:val="79E84010"/>
    <w:rsid w:val="7B172CEC"/>
    <w:rsid w:val="7C461FB1"/>
    <w:rsid w:val="7F833A97"/>
    <w:rsid w:val="7FC872DD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50" w:beforeLines="50" w:after="50" w:afterLines="50"/>
      <w:outlineLvl w:val="1"/>
    </w:pPr>
    <w:rPr>
      <w:rFonts w:ascii="Times New Roman" w:hAnsi="Times New Roman" w:eastAsia="楷体_GB2312" w:cs="Times New Roman"/>
      <w:spacing w:val="-6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字符"/>
    <w:link w:val="2"/>
    <w:qFormat/>
    <w:uiPriority w:val="9"/>
    <w:rPr>
      <w:rFonts w:ascii="Times New Roman" w:hAnsi="Times New Roman" w:eastAsia="楷体_GB2312" w:cs="Times New Roman"/>
      <w:spacing w:val="-6"/>
      <w:kern w:val="2"/>
      <w:sz w:val="32"/>
      <w:szCs w:val="32"/>
      <w:lang w:val="en-US" w:eastAsia="zh-CN" w:bidi="ar-SA"/>
    </w:rPr>
  </w:style>
  <w:style w:type="paragraph" w:customStyle="1" w:styleId="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0">
    <w:name w:val="标准文件_段"/>
    <w:link w:val="11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">
    <w:name w:val="标准文件_段 Char"/>
    <w:link w:val="10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4460</Words>
  <Characters>4537</Characters>
  <Lines>2</Lines>
  <Paragraphs>10</Paragraphs>
  <TotalTime>90</TotalTime>
  <ScaleCrop>false</ScaleCrop>
  <LinksUpToDate>false</LinksUpToDate>
  <CharactersWithSpaces>4549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2025-08-29T02:43:00Z</dcterms:created>
  <dc:creator>小刘</dc:creator>
  <cp:lastModifiedBy>WPS_1601460063</cp:lastModifiedBy>
  <dcterms:modified xsi:type="dcterms:W3CDTF">2025-11-13T00:50:11Z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01E53A38AC2249A59990E4BB1CEC65D6_13</vt:lpwstr>
  </property>
  <property fmtid="{D5CDD505-2E9C-101B-9397-08002B2CF9AE}" pid="4" name="KSOTemplateDocerSaveRecord">
    <vt:lpwstr>eyJoZGlkIjoiZjg4ZGUzMmU5ZDk0M2FjMzAzOTBhZmQxMjNkNTk0NTYiLCJ1c2VySWQiOiIxMTI2MDc5Mjc4In0=</vt:lpwstr>
  </property>
</Properties>
</file>