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3EC6D274"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12335E" w:rsidRPr="0012335E">
        <w:rPr>
          <w:rFonts w:ascii="仿宋" w:eastAsia="仿宋" w:hAnsi="仿宋" w:cs="仿宋" w:hint="eastAsia"/>
          <w:b/>
          <w:bCs/>
          <w:sz w:val="32"/>
          <w:szCs w:val="32"/>
        </w:rPr>
        <w:t>工程测绘基础数据采集与处理技术规范</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1422C0A8"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12335E" w:rsidRPr="0012335E">
        <w:rPr>
          <w:rFonts w:ascii="仿宋" w:eastAsia="仿宋" w:hAnsi="仿宋" w:cs="仿宋" w:hint="eastAsia"/>
          <w:szCs w:val="21"/>
        </w:rPr>
        <w:t>工程测绘基础数据采集与处理技术规范</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3D4F3DD9" w:rsidR="00AC4878" w:rsidRDefault="00AF6076">
      <w:pPr>
        <w:pStyle w:val="affc"/>
        <w:widowControl/>
        <w:spacing w:beforeAutospacing="0" w:afterAutospacing="0"/>
        <w:ind w:firstLineChars="200" w:firstLine="420"/>
        <w:jc w:val="both"/>
        <w:rPr>
          <w:rFonts w:ascii="仿宋" w:eastAsia="仿宋" w:hAnsi="仿宋" w:cs="仿宋" w:hint="eastAsia"/>
          <w:sz w:val="21"/>
          <w:szCs w:val="21"/>
        </w:rPr>
      </w:pPr>
      <w:r w:rsidRPr="00AF6076">
        <w:rPr>
          <w:rFonts w:ascii="仿宋" w:eastAsia="仿宋" w:hAnsi="仿宋" w:cs="仿宋" w:hint="eastAsia"/>
          <w:sz w:val="21"/>
          <w:szCs w:val="21"/>
        </w:rPr>
        <w:t>本标准编写的核心目的是统一工程测绘基础数据采集与处理的技术流程、操作规范、精度指标及质量控制要求，明确数据记录、格式转换、成果输出等关键环节的标准化要求，解决当前不同工程类型、不同作业单位间数据格式不统一、精度不达标、流程不规范等问题，为工程建设各阶段提供准确、一致、可用的基础测绘数据支撑，保障工程规划设计、施工建设、运营管理的顺利开展</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66AD4FF2" w:rsidR="00AC4878" w:rsidRDefault="00AF6076">
      <w:pPr>
        <w:pStyle w:val="affc"/>
        <w:widowControl/>
        <w:spacing w:beforeAutospacing="0" w:afterAutospacing="0"/>
        <w:ind w:firstLineChars="200" w:firstLine="420"/>
        <w:jc w:val="both"/>
        <w:rPr>
          <w:rFonts w:ascii="仿宋" w:eastAsia="仿宋" w:hAnsi="仿宋" w:cs="仿宋" w:hint="eastAsia"/>
          <w:sz w:val="21"/>
          <w:szCs w:val="21"/>
        </w:rPr>
      </w:pPr>
      <w:r w:rsidRPr="00AF6076">
        <w:rPr>
          <w:rFonts w:ascii="仿宋" w:eastAsia="仿宋" w:hAnsi="仿宋" w:cs="仿宋" w:hint="eastAsia"/>
          <w:sz w:val="21"/>
          <w:szCs w:val="21"/>
        </w:rPr>
        <w:t>本标准的制定与实施，有助于提升工程测绘基础数据的质量可靠性与互操作性，降低多</w:t>
      </w:r>
      <w:proofErr w:type="gramStart"/>
      <w:r w:rsidRPr="00AF6076">
        <w:rPr>
          <w:rFonts w:ascii="仿宋" w:eastAsia="仿宋" w:hAnsi="仿宋" w:cs="仿宋" w:hint="eastAsia"/>
          <w:sz w:val="21"/>
          <w:szCs w:val="21"/>
        </w:rPr>
        <w:t>源数据</w:t>
      </w:r>
      <w:proofErr w:type="gramEnd"/>
      <w:r w:rsidRPr="00AF6076">
        <w:rPr>
          <w:rFonts w:ascii="仿宋" w:eastAsia="仿宋" w:hAnsi="仿宋" w:cs="仿宋" w:hint="eastAsia"/>
          <w:sz w:val="21"/>
          <w:szCs w:val="21"/>
        </w:rPr>
        <w:t>融合的技术难度和成本，为工程建设领域的数据共享、协同作业奠定基础；能够规范行业技术行为，引导测绘作业单位采用科学合</w:t>
      </w:r>
      <w:proofErr w:type="gramStart"/>
      <w:r w:rsidRPr="00AF6076">
        <w:rPr>
          <w:rFonts w:ascii="仿宋" w:eastAsia="仿宋" w:hAnsi="仿宋" w:cs="仿宋" w:hint="eastAsia"/>
          <w:sz w:val="21"/>
          <w:szCs w:val="21"/>
        </w:rPr>
        <w:t>规</w:t>
      </w:r>
      <w:proofErr w:type="gramEnd"/>
      <w:r w:rsidRPr="00AF6076">
        <w:rPr>
          <w:rFonts w:ascii="仿宋" w:eastAsia="仿宋" w:hAnsi="仿宋" w:cs="仿宋" w:hint="eastAsia"/>
          <w:sz w:val="21"/>
          <w:szCs w:val="21"/>
        </w:rPr>
        <w:t>的技术方法，提升行业整体技术水平和作业效率；同时为数据质量评价、成果验收提供明确依据，减少工程测绘纠纷，保障工程建设质量与安全，助力工程建设领域的数字化、智能化转型</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4E740096" w:rsidR="00366ACC" w:rsidRDefault="00AF6076" w:rsidP="00366ACC">
      <w:pPr>
        <w:pStyle w:val="affc"/>
        <w:widowControl/>
        <w:spacing w:beforeAutospacing="0" w:afterAutospacing="0"/>
        <w:ind w:firstLineChars="200" w:firstLine="420"/>
        <w:jc w:val="both"/>
        <w:rPr>
          <w:rFonts w:ascii="仿宋" w:eastAsia="仿宋" w:hAnsi="仿宋" w:cs="仿宋" w:hint="eastAsia"/>
          <w:sz w:val="21"/>
          <w:szCs w:val="21"/>
        </w:rPr>
      </w:pPr>
      <w:r w:rsidRPr="00AF6076">
        <w:rPr>
          <w:rFonts w:ascii="仿宋" w:eastAsia="仿宋" w:hAnsi="仿宋" w:cs="仿宋" w:hint="eastAsia"/>
          <w:sz w:val="21"/>
          <w:szCs w:val="21"/>
        </w:rPr>
        <w:t>当前工程测绘领域缺乏覆盖全流程的统一技术规范，不同作业单位采用的采集方法、设备选型、数据格式差异较大，导致数据兼容性差、精度参差不齐，难以满足工程协同建设需求；随着工程建设规模扩大、技术迭代加快，对测绘数据的准确性、时效性、完整性要求不断提高，现有分散的技术要求已无法适配行业发展；加之涉密测绘数据管理、多</w:t>
      </w:r>
      <w:proofErr w:type="gramStart"/>
      <w:r w:rsidRPr="00AF6076">
        <w:rPr>
          <w:rFonts w:ascii="仿宋" w:eastAsia="仿宋" w:hAnsi="仿宋" w:cs="仿宋" w:hint="eastAsia"/>
          <w:sz w:val="21"/>
          <w:szCs w:val="21"/>
        </w:rPr>
        <w:t>源数据</w:t>
      </w:r>
      <w:proofErr w:type="gramEnd"/>
      <w:r w:rsidRPr="00AF6076">
        <w:rPr>
          <w:rFonts w:ascii="仿宋" w:eastAsia="仿宋" w:hAnsi="仿宋" w:cs="仿宋" w:hint="eastAsia"/>
          <w:sz w:val="21"/>
          <w:szCs w:val="21"/>
        </w:rPr>
        <w:t>融合等新需求涌现，亟需通过制定统一标准规范技术行为、明确质量底线，填补行业技术空白，解决实际作业中的痛点问题，保障工程建设高质量推进</w:t>
      </w:r>
      <w:r w:rsidR="00366ACC" w:rsidRPr="00366ACC">
        <w:rPr>
          <w:rFonts w:ascii="仿宋" w:eastAsia="仿宋" w:hAnsi="仿宋" w:cs="仿宋" w:hint="eastAsia"/>
          <w:sz w:val="21"/>
          <w:szCs w:val="21"/>
        </w:rPr>
        <w:t>。</w:t>
      </w:r>
      <w:bookmarkStart w:id="34" w:name="BT3"/>
      <w:bookmarkEnd w:id="34"/>
    </w:p>
    <w:p w14:paraId="3FE7694B" w14:textId="79F1509A"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AF6076" w:rsidRPr="00AF6076">
        <w:rPr>
          <w:rFonts w:ascii="仿宋" w:eastAsia="仿宋" w:hAnsi="仿宋" w:cs="仿宋" w:hint="eastAsia"/>
          <w:sz w:val="21"/>
          <w:szCs w:val="21"/>
        </w:rPr>
        <w:t>工程测绘基础数据是工程建设全生命周期的核心基础性支撑，其质量直接影响工程规划的科学性、施工的精准性及运营的安全性。近年来，随着 GNSS、遥感、物联网等技术在测绘领域的广泛应用，工程测绘的数据采集手段、处理方法不断升级，但行业内技术规范不统一、数据标准不一致等问题日益突出，制约了数据价值的充分发挥。本标准立足工程测绘实际需求，整合现有国家标准、行业标准的核心要求，涵盖数据采集、处理、质量控制、成果输出等全流程，明确了技术参数、操作规范及评价标准，兼具科学性、实用性和可操作性。标准的实施将有效规范行业秩序，提升测绘数据质量与作业效率，促进数据共享与协同应用，为工程建设领域的数字化转型提供有力保障，具有重要的行业指导意义和实际应用价值</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4BD4C639"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7F0DDC" w:rsidRPr="007F0DDC">
        <w:rPr>
          <w:rFonts w:ascii="仿宋" w:eastAsia="仿宋" w:hAnsi="仿宋" w:cs="仿宋" w:hint="eastAsia"/>
          <w:szCs w:val="21"/>
        </w:rPr>
        <w:t>浙江有色地勘集团有限公司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lastRenderedPageBreak/>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36703C7E" w:rsidR="00AC4878" w:rsidRDefault="007F0DDC">
            <w:pPr>
              <w:pStyle w:val="affb"/>
              <w:ind w:firstLineChars="0" w:firstLine="0"/>
              <w:rPr>
                <w:rFonts w:ascii="仿宋" w:eastAsia="仿宋" w:hAnsi="仿宋" w:cs="仿宋" w:hint="eastAsia"/>
                <w:szCs w:val="21"/>
                <w:highlight w:val="yellow"/>
              </w:rPr>
            </w:pPr>
            <w:r w:rsidRPr="007F0DDC">
              <w:rPr>
                <w:rFonts w:ascii="仿宋" w:eastAsia="仿宋" w:hAnsi="仿宋" w:cs="仿宋" w:hint="eastAsia"/>
                <w:szCs w:val="21"/>
              </w:rPr>
              <w:t>浙江有色地勘集团有限公司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w:t>
      </w:r>
      <w:proofErr w:type="gramStart"/>
      <w:r w:rsidRPr="00366ACC">
        <w:rPr>
          <w:rFonts w:ascii="仿宋" w:eastAsia="仿宋" w:hAnsi="仿宋" w:cs="仿宋" w:hint="eastAsia"/>
          <w:szCs w:val="21"/>
        </w:rPr>
        <w:t>经团体</w:t>
      </w:r>
      <w:proofErr w:type="gramEnd"/>
      <w:r w:rsidRPr="00366ACC">
        <w:rPr>
          <w:rFonts w:ascii="仿宋" w:eastAsia="仿宋" w:hAnsi="仿宋" w:cs="仿宋" w:hint="eastAsia"/>
          <w:szCs w:val="21"/>
        </w:rPr>
        <w:t>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w:t>
      </w:r>
      <w:proofErr w:type="gramStart"/>
      <w:r w:rsidRPr="00366ACC">
        <w:rPr>
          <w:rFonts w:ascii="仿宋" w:eastAsia="仿宋" w:hAnsi="仿宋" w:cs="仿宋" w:hint="eastAsia"/>
          <w:szCs w:val="21"/>
        </w:rPr>
        <w:t>并内部</w:t>
      </w:r>
      <w:proofErr w:type="gramEnd"/>
      <w:r w:rsidRPr="00366ACC">
        <w:rPr>
          <w:rFonts w:ascii="仿宋" w:eastAsia="仿宋" w:hAnsi="仿宋" w:cs="仿宋" w:hint="eastAsia"/>
          <w:szCs w:val="21"/>
        </w:rPr>
        <w:t>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proofErr w:type="gramStart"/>
      <w:r w:rsidRPr="00366ACC">
        <w:rPr>
          <w:rFonts w:ascii="仿宋" w:eastAsia="仿宋" w:hAnsi="仿宋" w:cs="仿宋" w:hint="eastAsia"/>
          <w:szCs w:val="21"/>
        </w:rPr>
        <w:t>完善送</w:t>
      </w:r>
      <w:proofErr w:type="gramEnd"/>
      <w:r w:rsidRPr="00366ACC">
        <w:rPr>
          <w:rFonts w:ascii="仿宋" w:eastAsia="仿宋" w:hAnsi="仿宋" w:cs="仿宋" w:hint="eastAsia"/>
          <w:szCs w:val="21"/>
        </w:rPr>
        <w:t>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63336D7E"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r w:rsidR="00B83C95">
        <w:rPr>
          <w:rFonts w:ascii="仿宋" w:eastAsia="仿宋" w:hAnsi="仿宋" w:cs="仿宋" w:hint="eastAsia"/>
          <w:szCs w:val="21"/>
        </w:rPr>
        <w:t>与综述报告</w:t>
      </w:r>
    </w:p>
    <w:p w14:paraId="78AB6E13" w14:textId="450E53E5" w:rsidR="001F2D0D" w:rsidRDefault="00BC22AF" w:rsidP="00B83C95">
      <w:pPr>
        <w:pStyle w:val="affb"/>
        <w:rPr>
          <w:rFonts w:ascii="仿宋" w:eastAsia="仿宋" w:hAnsi="仿宋" w:cs="仿宋" w:hint="eastAsia"/>
          <w:szCs w:val="21"/>
        </w:rPr>
      </w:pPr>
      <w:r w:rsidRPr="00BC22AF">
        <w:rPr>
          <w:rFonts w:ascii="仿宋" w:eastAsia="仿宋" w:hAnsi="仿宋" w:cs="仿宋" w:hint="eastAsia"/>
          <w:szCs w:val="21"/>
        </w:rPr>
        <w:t>本标准试验验证选取建筑工程、交通运输工程、水利水电工程等典型工程类型，覆盖平原、丘陵、山地等不同地形条件的测区，采用 GNSS 测量、全站仪测量、遥感测绘等主流技术手段，按标准规定的技术流程开展数据采集与处理试验。验证结果显示，按本标准执行的测绘数据平面精度达标率≥96%、高程精度达标率≥95%，数据一致性与完整性均满足工程应用要求，较传统作业模式数据兼容效率提升 30% 以上、质量问题发生率降低 40%；不同作业单位依据标准开展协同作业，数据融合误差控制在允许范围，验证了标准的科学性、通用性和可操作性，为标准的正式实施提供了充分的实践支撑</w:t>
      </w:r>
      <w:r w:rsidR="001F2D0D" w:rsidRPr="001F2D0D">
        <w:rPr>
          <w:rFonts w:ascii="仿宋" w:eastAsia="仿宋" w:hAnsi="仿宋" w:cs="仿宋" w:hint="eastAsia"/>
          <w:szCs w:val="21"/>
        </w:rPr>
        <w:t>。</w:t>
      </w:r>
    </w:p>
    <w:p w14:paraId="64D27F77" w14:textId="7C690AE4" w:rsidR="00AC4878" w:rsidRDefault="00E456EB">
      <w:pPr>
        <w:pStyle w:val="affb"/>
        <w:rPr>
          <w:rFonts w:ascii="仿宋" w:eastAsia="仿宋" w:hAnsi="仿宋" w:cs="仿宋" w:hint="eastAsia"/>
          <w:szCs w:val="21"/>
        </w:rPr>
      </w:pPr>
      <w:r>
        <w:rPr>
          <w:rFonts w:ascii="仿宋" w:eastAsia="仿宋" w:hAnsi="仿宋" w:cs="仿宋" w:hint="eastAsia"/>
          <w:szCs w:val="21"/>
        </w:rPr>
        <w:t>2. 技术经济论证</w:t>
      </w:r>
    </w:p>
    <w:p w14:paraId="2BE8E6AE" w14:textId="3D4FEB66" w:rsidR="00AC4878" w:rsidRDefault="00BC22AF">
      <w:pPr>
        <w:pStyle w:val="affb"/>
        <w:rPr>
          <w:rFonts w:ascii="仿宋" w:eastAsia="仿宋" w:hAnsi="仿宋" w:cs="仿宋" w:hint="eastAsia"/>
          <w:szCs w:val="21"/>
        </w:rPr>
      </w:pPr>
      <w:r w:rsidRPr="00BC22AF">
        <w:rPr>
          <w:rFonts w:ascii="仿宋" w:eastAsia="仿宋" w:hAnsi="仿宋" w:cs="仿宋" w:hint="eastAsia"/>
          <w:szCs w:val="21"/>
        </w:rPr>
        <w:t>技术层面，本标准整合现有国标、行标的核心技术要求，统一数据采集与处理的技术流程、精度指标及格式标准，兼容主流测绘技术与设备，降低了技术适配难度，可有效解决多</w:t>
      </w:r>
      <w:proofErr w:type="gramStart"/>
      <w:r w:rsidRPr="00BC22AF">
        <w:rPr>
          <w:rFonts w:ascii="仿宋" w:eastAsia="仿宋" w:hAnsi="仿宋" w:cs="仿宋" w:hint="eastAsia"/>
          <w:szCs w:val="21"/>
        </w:rPr>
        <w:t>源数据</w:t>
      </w:r>
      <w:proofErr w:type="gramEnd"/>
      <w:r w:rsidRPr="00BC22AF">
        <w:rPr>
          <w:rFonts w:ascii="仿宋" w:eastAsia="仿宋" w:hAnsi="仿宋" w:cs="仿宋" w:hint="eastAsia"/>
          <w:szCs w:val="21"/>
        </w:rPr>
        <w:t>融合不畅、技术方法</w:t>
      </w:r>
      <w:r w:rsidRPr="00BC22AF">
        <w:rPr>
          <w:rFonts w:ascii="仿宋" w:eastAsia="仿宋" w:hAnsi="仿宋" w:cs="仿宋" w:hint="eastAsia"/>
          <w:szCs w:val="21"/>
        </w:rPr>
        <w:lastRenderedPageBreak/>
        <w:t>不统一等问题，推动行业技术规范化、标准化发展。经济层面，标准实施后可减少因数据不兼容导致的重复采集、返工处理等无效成本，预计</w:t>
      </w:r>
      <w:proofErr w:type="gramStart"/>
      <w:r w:rsidRPr="00BC22AF">
        <w:rPr>
          <w:rFonts w:ascii="仿宋" w:eastAsia="仿宋" w:hAnsi="仿宋" w:cs="仿宋" w:hint="eastAsia"/>
          <w:szCs w:val="21"/>
        </w:rPr>
        <w:t>单项目</w:t>
      </w:r>
      <w:proofErr w:type="gramEnd"/>
      <w:r w:rsidRPr="00BC22AF">
        <w:rPr>
          <w:rFonts w:ascii="仿宋" w:eastAsia="仿宋" w:hAnsi="仿宋" w:cs="仿宋" w:hint="eastAsia"/>
          <w:szCs w:val="21"/>
        </w:rPr>
        <w:t>测绘作业效率提升 25% 以上，数据共享成本降低 30%，同时降低工程设计变更、施工误差引发的额外投入，长期来看将显著节约工程建设全生命周期的经济成本，具备良好的技术经济性</w:t>
      </w:r>
      <w:r w:rsidR="001F2D0D">
        <w:rPr>
          <w:rFonts w:ascii="仿宋" w:eastAsia="仿宋" w:hAnsi="仿宋" w:cs="仿宋" w:hint="eastAsia"/>
          <w:szCs w:val="21"/>
        </w:rPr>
        <w:t>。</w:t>
      </w:r>
    </w:p>
    <w:p w14:paraId="1A9C3497" w14:textId="2C0BC20D" w:rsidR="00AC4878" w:rsidRDefault="00E456EB">
      <w:pPr>
        <w:pStyle w:val="affb"/>
        <w:rPr>
          <w:rFonts w:ascii="仿宋" w:eastAsia="仿宋" w:hAnsi="仿宋" w:cs="仿宋" w:hint="eastAsia"/>
          <w:szCs w:val="21"/>
        </w:rPr>
      </w:pPr>
      <w:r>
        <w:rPr>
          <w:rFonts w:ascii="仿宋" w:eastAsia="仿宋" w:hAnsi="仿宋" w:cs="仿宋" w:hint="eastAsia"/>
          <w:szCs w:val="21"/>
        </w:rPr>
        <w:t>3. 预期的经济效益</w:t>
      </w:r>
    </w:p>
    <w:p w14:paraId="1CA6D98A" w14:textId="4D936F9C" w:rsidR="007C0740" w:rsidRDefault="00BC22AF">
      <w:pPr>
        <w:pStyle w:val="affb"/>
        <w:rPr>
          <w:rFonts w:ascii="仿宋" w:eastAsia="仿宋" w:hAnsi="仿宋" w:cs="仿宋" w:hint="eastAsia"/>
          <w:szCs w:val="21"/>
        </w:rPr>
      </w:pPr>
      <w:r w:rsidRPr="00BC22AF">
        <w:rPr>
          <w:rFonts w:ascii="仿宋" w:eastAsia="仿宋" w:hAnsi="仿宋" w:cs="仿宋" w:hint="eastAsia"/>
          <w:szCs w:val="21"/>
        </w:rPr>
        <w:t>本标准的实施将带来显著经济效益：一是通过统一技术规范减少重复测绘、数据转换等冗余工作，降低作业单位的人力、设备及时间成本，提升行业整体作业效率；二是规范的数据成果可减少工程设计失误、施工返工等问题，降低工程建设阶段的修正成本，保障工程建设进度；三是标准化数据便于跨部门、</w:t>
      </w:r>
      <w:proofErr w:type="gramStart"/>
      <w:r w:rsidRPr="00BC22AF">
        <w:rPr>
          <w:rFonts w:ascii="仿宋" w:eastAsia="仿宋" w:hAnsi="仿宋" w:cs="仿宋" w:hint="eastAsia"/>
          <w:szCs w:val="21"/>
        </w:rPr>
        <w:t>跨项目</w:t>
      </w:r>
      <w:proofErr w:type="gramEnd"/>
      <w:r w:rsidRPr="00BC22AF">
        <w:rPr>
          <w:rFonts w:ascii="仿宋" w:eastAsia="仿宋" w:hAnsi="仿宋" w:cs="仿宋" w:hint="eastAsia"/>
          <w:szCs w:val="21"/>
        </w:rPr>
        <w:t>共享复用，避免数据资源浪费，提升数据利用价值；四是引导行业优化技术方案与设备选型，推动高效节能测绘技术的应用，进一步降低长期运营成本，为工程建设领域降本增效提供有力支撑</w:t>
      </w:r>
      <w:r w:rsidR="007C0740">
        <w:rPr>
          <w:rFonts w:ascii="仿宋" w:eastAsia="仿宋" w:hAnsi="仿宋" w:cs="仿宋" w:hint="eastAsia"/>
          <w:szCs w:val="21"/>
        </w:rPr>
        <w:t>。</w:t>
      </w:r>
    </w:p>
    <w:p w14:paraId="4F982925" w14:textId="27951080" w:rsidR="00AC4878" w:rsidRDefault="00E456EB">
      <w:pPr>
        <w:pStyle w:val="affb"/>
        <w:rPr>
          <w:rFonts w:ascii="仿宋" w:eastAsia="仿宋" w:hAnsi="仿宋" w:cs="仿宋" w:hint="eastAsia"/>
          <w:szCs w:val="21"/>
        </w:rPr>
      </w:pPr>
      <w:r>
        <w:rPr>
          <w:rFonts w:ascii="仿宋" w:eastAsia="仿宋" w:hAnsi="仿宋" w:cs="仿宋" w:hint="eastAsia"/>
          <w:szCs w:val="21"/>
        </w:rPr>
        <w:t>4. 社会效益和生态效益</w:t>
      </w:r>
    </w:p>
    <w:p w14:paraId="62991666" w14:textId="0E80E9A0" w:rsidR="00AC4878" w:rsidRDefault="00BC22AF">
      <w:pPr>
        <w:pStyle w:val="affb"/>
        <w:rPr>
          <w:rFonts w:ascii="仿宋" w:eastAsia="仿宋" w:hAnsi="仿宋" w:cs="仿宋" w:hint="eastAsia"/>
          <w:szCs w:val="21"/>
        </w:rPr>
      </w:pPr>
      <w:r w:rsidRPr="00BC22AF">
        <w:rPr>
          <w:rFonts w:ascii="仿宋" w:eastAsia="仿宋" w:hAnsi="仿宋" w:cs="仿宋" w:hint="eastAsia"/>
          <w:szCs w:val="21"/>
        </w:rPr>
        <w:t>本标准的实施将产生重要社会效益：一是规范工程测绘行业技术行为，统一质量评价标准，减少行业乱象与纠纷，维护市场公平竞争秩序；二是提升工程测绘数据质量，为工程规划、施工、运营提供可靠支撑，保障工程建设安全与民生福祉；三是促进测绘数据共享协同，助力工程建设领域数字化、智能化转型，推动行业高质量发展；四是明确涉密测绘数据管理要求，强化数据安全保障，维护国家地理信息安全，同时为行业人才培养提供统一的技术依据，提升从业人员专业素养</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6CC99690" w14:textId="77777777" w:rsidR="00BC22AF" w:rsidRPr="00BC22AF" w:rsidRDefault="00BC22AF" w:rsidP="00BC22AF">
      <w:pPr>
        <w:pStyle w:val="affb"/>
        <w:rPr>
          <w:rFonts w:ascii="仿宋" w:eastAsia="仿宋" w:hAnsi="仿宋" w:cs="仿宋" w:hint="eastAsia"/>
          <w:szCs w:val="21"/>
        </w:rPr>
      </w:pPr>
      <w:bookmarkStart w:id="35" w:name="_Toc17233326"/>
      <w:bookmarkStart w:id="36" w:name="_Toc17233334"/>
      <w:bookmarkStart w:id="37" w:name="_Toc24884219"/>
      <w:bookmarkStart w:id="38" w:name="_Toc26648466"/>
      <w:bookmarkStart w:id="39" w:name="_Toc24884212"/>
      <w:r w:rsidRPr="00BC22AF">
        <w:rPr>
          <w:rFonts w:ascii="仿宋" w:eastAsia="仿宋" w:hAnsi="仿宋" w:cs="仿宋" w:hint="eastAsia"/>
          <w:szCs w:val="21"/>
        </w:rPr>
        <w:t>本文件规定了工程测绘基础数据采集与处理技术的总则、数据采集、处理技术要求、检验与评价以及成果输出与档案管理的内容。</w:t>
      </w:r>
    </w:p>
    <w:p w14:paraId="55B1F24D" w14:textId="0CA2058E" w:rsidR="00AC4878" w:rsidRDefault="00BC22AF" w:rsidP="00BC22AF">
      <w:pPr>
        <w:pStyle w:val="affb"/>
        <w:rPr>
          <w:rFonts w:ascii="仿宋" w:eastAsia="仿宋" w:hAnsi="仿宋" w:cs="仿宋" w:hint="eastAsia"/>
          <w:szCs w:val="21"/>
        </w:rPr>
      </w:pPr>
      <w:r w:rsidRPr="00BC22AF">
        <w:rPr>
          <w:rFonts w:ascii="仿宋" w:eastAsia="仿宋" w:hAnsi="仿宋" w:cs="仿宋" w:hint="eastAsia"/>
          <w:szCs w:val="21"/>
        </w:rPr>
        <w:t>本文件适用于工程测绘基础数据采集与处理技术的应用</w:t>
      </w:r>
      <w:r w:rsidR="006A10F1" w:rsidRPr="006A10F1">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40" w:name="_Toc26986531"/>
      <w:bookmarkStart w:id="41" w:name="_Toc26986772"/>
      <w:bookmarkStart w:id="42" w:name="_Toc26718931"/>
      <w:bookmarkStart w:id="43" w:name="_Toc113282591"/>
      <w:bookmarkStart w:id="44" w:name="_Toc97192965"/>
      <w:bookmarkStart w:id="45" w:name="_Toc11915"/>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5135C7F5" w14:textId="77777777" w:rsidR="00E717B1" w:rsidRPr="00E717B1" w:rsidRDefault="00E717B1" w:rsidP="00E717B1">
      <w:pPr>
        <w:pStyle w:val="affb"/>
        <w:rPr>
          <w:rFonts w:ascii="仿宋" w:eastAsia="仿宋" w:hAnsi="仿宋" w:cs="仿宋" w:hint="eastAsia"/>
          <w:szCs w:val="21"/>
        </w:rPr>
      </w:pPr>
      <w:bookmarkStart w:id="46" w:name="_Toc2484"/>
      <w:bookmarkStart w:id="47" w:name="_Toc113282592"/>
      <w:bookmarkStart w:id="48" w:name="_Toc97192966"/>
      <w:r w:rsidRPr="00E717B1">
        <w:rPr>
          <w:rFonts w:ascii="仿宋" w:eastAsia="仿宋" w:hAnsi="仿宋" w:cs="仿宋" w:hint="eastAsia"/>
          <w:szCs w:val="21"/>
        </w:rPr>
        <w:t>GB/T 20257.1  国家基本比例尺地图图式 第1部分：1:500 1:1 000 1:2 000地形图图式</w:t>
      </w:r>
    </w:p>
    <w:p w14:paraId="1744D58D" w14:textId="77777777" w:rsidR="00E717B1" w:rsidRPr="00E717B1" w:rsidRDefault="00E717B1" w:rsidP="00E717B1">
      <w:pPr>
        <w:pStyle w:val="affb"/>
        <w:rPr>
          <w:rFonts w:ascii="仿宋" w:eastAsia="仿宋" w:hAnsi="仿宋" w:cs="仿宋" w:hint="eastAsia"/>
          <w:szCs w:val="21"/>
        </w:rPr>
      </w:pPr>
      <w:r w:rsidRPr="00E717B1">
        <w:rPr>
          <w:rFonts w:ascii="仿宋" w:eastAsia="仿宋" w:hAnsi="仿宋" w:cs="仿宋" w:hint="eastAsia"/>
          <w:szCs w:val="21"/>
        </w:rPr>
        <w:t>GB/T 20257.2  国家基本比例尺地图图式 第2部分：1:5 000 1:10 000地形图图式</w:t>
      </w:r>
    </w:p>
    <w:p w14:paraId="46C14A01" w14:textId="77777777" w:rsidR="00E717B1" w:rsidRPr="00E717B1" w:rsidRDefault="00E717B1" w:rsidP="00E717B1">
      <w:pPr>
        <w:pStyle w:val="affb"/>
        <w:rPr>
          <w:rFonts w:ascii="仿宋" w:eastAsia="仿宋" w:hAnsi="仿宋" w:cs="仿宋" w:hint="eastAsia"/>
          <w:szCs w:val="21"/>
        </w:rPr>
      </w:pPr>
      <w:r w:rsidRPr="00E717B1">
        <w:rPr>
          <w:rFonts w:ascii="仿宋" w:eastAsia="仿宋" w:hAnsi="仿宋" w:cs="仿宋" w:hint="eastAsia"/>
          <w:szCs w:val="21"/>
        </w:rPr>
        <w:t>GB 35650  国家基本比例尺地图测绘基本技术规定</w:t>
      </w:r>
    </w:p>
    <w:p w14:paraId="0040E2A8" w14:textId="77777777" w:rsidR="00E717B1" w:rsidRPr="00E717B1" w:rsidRDefault="00E717B1" w:rsidP="00E717B1">
      <w:pPr>
        <w:pStyle w:val="affb"/>
        <w:rPr>
          <w:rFonts w:ascii="仿宋" w:eastAsia="仿宋" w:hAnsi="仿宋" w:cs="仿宋" w:hint="eastAsia"/>
          <w:szCs w:val="21"/>
        </w:rPr>
      </w:pPr>
      <w:r w:rsidRPr="00E717B1">
        <w:rPr>
          <w:rFonts w:ascii="仿宋" w:eastAsia="仿宋" w:hAnsi="仿宋" w:cs="仿宋" w:hint="eastAsia"/>
          <w:szCs w:val="21"/>
        </w:rPr>
        <w:t>CH/T 1036  管线要素分类代码与符号表达</w:t>
      </w:r>
    </w:p>
    <w:p w14:paraId="5443F5C9" w14:textId="77777777" w:rsidR="00E717B1" w:rsidRPr="00E717B1" w:rsidRDefault="00E717B1" w:rsidP="00E717B1">
      <w:pPr>
        <w:pStyle w:val="affb"/>
        <w:rPr>
          <w:rFonts w:ascii="仿宋" w:eastAsia="仿宋" w:hAnsi="仿宋" w:cs="仿宋" w:hint="eastAsia"/>
          <w:szCs w:val="21"/>
        </w:rPr>
      </w:pPr>
      <w:r w:rsidRPr="00E717B1">
        <w:rPr>
          <w:rFonts w:ascii="仿宋" w:eastAsia="仿宋" w:hAnsi="仿宋" w:cs="仿宋" w:hint="eastAsia"/>
          <w:szCs w:val="21"/>
        </w:rPr>
        <w:t>CH/T 9008.1  基础地理信息数字成果 1:500 1:1000 1:2000 数字线划图</w:t>
      </w:r>
    </w:p>
    <w:p w14:paraId="4E39070C" w14:textId="77777777" w:rsidR="00E717B1" w:rsidRPr="00E717B1" w:rsidRDefault="00E717B1" w:rsidP="00E717B1">
      <w:pPr>
        <w:pStyle w:val="affb"/>
        <w:rPr>
          <w:rFonts w:ascii="仿宋" w:eastAsia="仿宋" w:hAnsi="仿宋" w:cs="仿宋" w:hint="eastAsia"/>
          <w:szCs w:val="21"/>
        </w:rPr>
      </w:pPr>
      <w:r w:rsidRPr="00E717B1">
        <w:rPr>
          <w:rFonts w:ascii="仿宋" w:eastAsia="仿宋" w:hAnsi="仿宋" w:cs="仿宋" w:hint="eastAsia"/>
          <w:szCs w:val="21"/>
        </w:rPr>
        <w:t>CH/T 9008.2  基础地理信息数字成果 1:500 1:1000 1:2000 数字高程模型</w:t>
      </w:r>
    </w:p>
    <w:p w14:paraId="355552F8" w14:textId="5ABCDA88" w:rsidR="00DA5C3F" w:rsidRDefault="00E717B1" w:rsidP="00E717B1">
      <w:pPr>
        <w:pStyle w:val="affb"/>
        <w:rPr>
          <w:rFonts w:ascii="仿宋" w:eastAsia="仿宋" w:hAnsi="仿宋" w:cs="仿宋" w:hint="eastAsia"/>
          <w:szCs w:val="21"/>
        </w:rPr>
      </w:pPr>
      <w:r w:rsidRPr="00E717B1">
        <w:rPr>
          <w:rFonts w:ascii="仿宋" w:eastAsia="仿宋" w:hAnsi="仿宋" w:cs="仿宋" w:hint="eastAsia"/>
          <w:szCs w:val="21"/>
        </w:rPr>
        <w:t>CH/T 9008.3  基础地理信息数字成果 1:500 1:1000 1:2000 数字正射影像图</w:t>
      </w:r>
    </w:p>
    <w:p w14:paraId="558A4E8F" w14:textId="5E09B443" w:rsidR="00AC4878" w:rsidRDefault="00000000" w:rsidP="00DA5C3F">
      <w:pPr>
        <w:pStyle w:val="affb"/>
        <w:ind w:firstLineChars="0" w:firstLine="0"/>
        <w:rPr>
          <w:rFonts w:ascii="仿宋" w:eastAsia="仿宋" w:hAnsi="仿宋" w:cs="仿宋" w:hint="eastAsia"/>
          <w:b/>
          <w:bCs/>
          <w:szCs w:val="21"/>
        </w:rPr>
      </w:pPr>
      <w:r>
        <w:rPr>
          <w:rFonts w:ascii="仿宋" w:eastAsia="仿宋" w:hAnsi="仿宋" w:cs="仿宋" w:hint="eastAsia"/>
          <w:b/>
          <w:bCs/>
          <w:szCs w:val="21"/>
        </w:rPr>
        <w:t>3.术语和定义</w:t>
      </w:r>
      <w:bookmarkEnd w:id="46"/>
      <w:bookmarkEnd w:id="47"/>
      <w:bookmarkEnd w:id="48"/>
    </w:p>
    <w:p w14:paraId="44503B4E" w14:textId="3A0A3000" w:rsidR="00B7565C" w:rsidRPr="004453DE" w:rsidRDefault="006A10F1" w:rsidP="00B7565C">
      <w:pPr>
        <w:pStyle w:val="affffffff"/>
        <w:adjustRightInd w:val="0"/>
        <w:snapToGrid w:val="0"/>
        <w:ind w:firstLine="420"/>
        <w:rPr>
          <w:rFonts w:ascii="仿宋" w:eastAsia="仿宋" w:hAnsi="仿宋" w:cs="仿宋" w:hint="eastAsia"/>
          <w:szCs w:val="21"/>
        </w:rPr>
      </w:pPr>
      <w:r w:rsidRPr="006A10F1">
        <w:rPr>
          <w:rFonts w:ascii="仿宋" w:eastAsia="仿宋" w:hAnsi="仿宋" w:cs="仿宋" w:hint="eastAsia"/>
          <w:szCs w:val="21"/>
        </w:rPr>
        <w:t>明确</w:t>
      </w:r>
      <w:r w:rsidR="00257659">
        <w:rPr>
          <w:rFonts w:ascii="仿宋" w:eastAsia="仿宋" w:hAnsi="仿宋" w:cs="仿宋" w:hint="eastAsia"/>
          <w:szCs w:val="21"/>
        </w:rPr>
        <w:t>数据采集、数据处理、数据精度</w:t>
      </w:r>
      <w:r w:rsidRPr="006A10F1">
        <w:rPr>
          <w:rFonts w:ascii="仿宋" w:eastAsia="仿宋" w:hAnsi="仿宋" w:cs="仿宋" w:hint="eastAsia"/>
          <w:szCs w:val="21"/>
        </w:rPr>
        <w:t>等核心术语的定义</w:t>
      </w:r>
      <w:r>
        <w:rPr>
          <w:rFonts w:ascii="仿宋" w:eastAsia="仿宋" w:hAnsi="仿宋" w:cs="仿宋" w:hint="eastAsia"/>
          <w:szCs w:val="21"/>
        </w:rPr>
        <w:t>。</w:t>
      </w:r>
    </w:p>
    <w:p w14:paraId="6E10C76A" w14:textId="59B1E3BC" w:rsidR="00FF0C6C" w:rsidRPr="00FF0C6C" w:rsidRDefault="00FF0C6C" w:rsidP="00FF0C6C">
      <w:pPr>
        <w:pStyle w:val="affb"/>
        <w:ind w:firstLineChars="0" w:firstLine="0"/>
        <w:rPr>
          <w:rFonts w:ascii="仿宋" w:eastAsia="仿宋" w:hAnsi="仿宋" w:cs="仿宋"/>
          <w:b/>
          <w:bCs/>
          <w:szCs w:val="21"/>
        </w:rPr>
      </w:pPr>
      <w:r w:rsidRPr="00FF0C6C">
        <w:rPr>
          <w:rFonts w:ascii="仿宋" w:eastAsia="仿宋" w:hAnsi="仿宋" w:cs="仿宋" w:hint="eastAsia"/>
          <w:b/>
          <w:bCs/>
          <w:szCs w:val="21"/>
        </w:rPr>
        <w:t>4.</w:t>
      </w:r>
      <w:r w:rsidRPr="00FF0C6C">
        <w:rPr>
          <w:rFonts w:ascii="仿宋" w:eastAsia="仿宋" w:hAnsi="仿宋" w:cs="仿宋" w:hint="eastAsia"/>
          <w:b/>
          <w:bCs/>
          <w:szCs w:val="21"/>
        </w:rPr>
        <w:t>总则</w:t>
      </w:r>
    </w:p>
    <w:p w14:paraId="4FCEC127" w14:textId="6986A910" w:rsidR="00FF0C6C" w:rsidRPr="00FF0C6C" w:rsidRDefault="00FF0C6C" w:rsidP="00FF0C6C">
      <w:pPr>
        <w:pStyle w:val="affb"/>
        <w:rPr>
          <w:rFonts w:ascii="仿宋" w:eastAsia="仿宋" w:hAnsi="仿宋" w:cs="仿宋" w:hint="eastAsia"/>
          <w:szCs w:val="21"/>
        </w:rPr>
      </w:pPr>
      <w:r w:rsidRPr="00FF0C6C">
        <w:rPr>
          <w:rFonts w:ascii="仿宋" w:eastAsia="仿宋" w:hAnsi="仿宋" w:cs="仿宋" w:hint="eastAsia"/>
          <w:szCs w:val="21"/>
        </w:rPr>
        <w:t>规定数据采集与处理的基本原则、质量目标及统一采用的坐标与高程系统。</w:t>
      </w:r>
    </w:p>
    <w:p w14:paraId="011F08B1" w14:textId="2EA3B370" w:rsidR="00FF0C6C" w:rsidRPr="00FF0C6C" w:rsidRDefault="00FF0C6C" w:rsidP="00FF0C6C">
      <w:pPr>
        <w:pStyle w:val="affb"/>
        <w:ind w:firstLineChars="0" w:firstLine="0"/>
        <w:rPr>
          <w:rFonts w:ascii="仿宋" w:eastAsia="仿宋" w:hAnsi="仿宋" w:cs="仿宋"/>
          <w:b/>
          <w:bCs/>
          <w:szCs w:val="21"/>
        </w:rPr>
      </w:pPr>
      <w:r w:rsidRPr="00FF0C6C">
        <w:rPr>
          <w:rFonts w:ascii="仿宋" w:eastAsia="仿宋" w:hAnsi="仿宋" w:cs="仿宋" w:hint="eastAsia"/>
          <w:b/>
          <w:bCs/>
          <w:szCs w:val="21"/>
        </w:rPr>
        <w:t>5.</w:t>
      </w:r>
      <w:r w:rsidRPr="00FF0C6C">
        <w:rPr>
          <w:rFonts w:ascii="仿宋" w:eastAsia="仿宋" w:hAnsi="仿宋" w:cs="仿宋" w:hint="eastAsia"/>
          <w:b/>
          <w:bCs/>
          <w:szCs w:val="21"/>
        </w:rPr>
        <w:t>数据采集技术要求</w:t>
      </w:r>
    </w:p>
    <w:p w14:paraId="49D4D2E7" w14:textId="05AE0C6B" w:rsidR="00FF0C6C" w:rsidRPr="00FF0C6C" w:rsidRDefault="00FF0C6C" w:rsidP="00FF0C6C">
      <w:pPr>
        <w:pStyle w:val="affb"/>
        <w:rPr>
          <w:rFonts w:ascii="仿宋" w:eastAsia="仿宋" w:hAnsi="仿宋" w:cs="仿宋" w:hint="eastAsia"/>
          <w:szCs w:val="21"/>
        </w:rPr>
      </w:pPr>
      <w:r w:rsidRPr="00FF0C6C">
        <w:rPr>
          <w:rFonts w:ascii="仿宋" w:eastAsia="仿宋" w:hAnsi="仿宋" w:cs="仿宋" w:hint="eastAsia"/>
          <w:szCs w:val="21"/>
        </w:rPr>
        <w:t>明确采集准备、控制测量、外业采集及数据记录的操作规范与技术参数。</w:t>
      </w:r>
    </w:p>
    <w:p w14:paraId="32DBCE76" w14:textId="61E46E9C" w:rsidR="00FF0C6C" w:rsidRPr="00FF0C6C" w:rsidRDefault="00FF0C6C" w:rsidP="00FF0C6C">
      <w:pPr>
        <w:pStyle w:val="affb"/>
        <w:ind w:firstLineChars="0" w:firstLine="0"/>
        <w:rPr>
          <w:rFonts w:ascii="仿宋" w:eastAsia="仿宋" w:hAnsi="仿宋" w:cs="仿宋"/>
          <w:b/>
          <w:bCs/>
          <w:szCs w:val="21"/>
        </w:rPr>
      </w:pPr>
      <w:r w:rsidRPr="00FF0C6C">
        <w:rPr>
          <w:rFonts w:ascii="仿宋" w:eastAsia="仿宋" w:hAnsi="仿宋" w:cs="仿宋" w:hint="eastAsia"/>
          <w:b/>
          <w:bCs/>
          <w:szCs w:val="21"/>
        </w:rPr>
        <w:t>6.</w:t>
      </w:r>
      <w:r w:rsidRPr="00FF0C6C">
        <w:rPr>
          <w:rFonts w:ascii="仿宋" w:eastAsia="仿宋" w:hAnsi="仿宋" w:cs="仿宋" w:hint="eastAsia"/>
          <w:b/>
          <w:bCs/>
          <w:szCs w:val="21"/>
        </w:rPr>
        <w:t>数据处理技术要求</w:t>
      </w:r>
    </w:p>
    <w:p w14:paraId="04ABCAAD" w14:textId="0C22EC9C" w:rsidR="00FF0C6C" w:rsidRPr="00FF0C6C" w:rsidRDefault="00FF0C6C" w:rsidP="00FF0C6C">
      <w:pPr>
        <w:pStyle w:val="affb"/>
        <w:rPr>
          <w:rFonts w:ascii="仿宋" w:eastAsia="仿宋" w:hAnsi="仿宋" w:cs="仿宋" w:hint="eastAsia"/>
          <w:szCs w:val="21"/>
        </w:rPr>
      </w:pPr>
      <w:r w:rsidRPr="00FF0C6C">
        <w:rPr>
          <w:rFonts w:ascii="仿宋" w:eastAsia="仿宋" w:hAnsi="仿宋" w:cs="仿宋" w:hint="eastAsia"/>
          <w:szCs w:val="21"/>
        </w:rPr>
        <w:t>规范数据预处理、编辑修正、整合关联及全流程质量控制的技术要求。</w:t>
      </w:r>
    </w:p>
    <w:p w14:paraId="5C32EFD1" w14:textId="6DD1881A" w:rsidR="00FF0C6C" w:rsidRPr="00FF0C6C" w:rsidRDefault="00FF0C6C" w:rsidP="00FF0C6C">
      <w:pPr>
        <w:pStyle w:val="affb"/>
        <w:ind w:firstLineChars="0" w:firstLine="0"/>
        <w:rPr>
          <w:rFonts w:ascii="仿宋" w:eastAsia="仿宋" w:hAnsi="仿宋" w:cs="仿宋"/>
          <w:b/>
          <w:bCs/>
          <w:szCs w:val="21"/>
        </w:rPr>
      </w:pPr>
      <w:r w:rsidRPr="00FF0C6C">
        <w:rPr>
          <w:rFonts w:ascii="仿宋" w:eastAsia="仿宋" w:hAnsi="仿宋" w:cs="仿宋" w:hint="eastAsia"/>
          <w:b/>
          <w:bCs/>
          <w:szCs w:val="21"/>
        </w:rPr>
        <w:t>7.</w:t>
      </w:r>
      <w:r w:rsidRPr="00FF0C6C">
        <w:rPr>
          <w:rFonts w:ascii="仿宋" w:eastAsia="仿宋" w:hAnsi="仿宋" w:cs="仿宋" w:hint="eastAsia"/>
          <w:b/>
          <w:bCs/>
          <w:szCs w:val="21"/>
        </w:rPr>
        <w:t>检验与评价</w:t>
      </w:r>
    </w:p>
    <w:p w14:paraId="4D8B11C2" w14:textId="6640BA2B" w:rsidR="00FF0C6C" w:rsidRPr="00FF0C6C" w:rsidRDefault="00FF0C6C" w:rsidP="00FF0C6C">
      <w:pPr>
        <w:pStyle w:val="affb"/>
        <w:rPr>
          <w:rFonts w:ascii="仿宋" w:eastAsia="仿宋" w:hAnsi="仿宋" w:cs="仿宋" w:hint="eastAsia"/>
          <w:szCs w:val="21"/>
        </w:rPr>
      </w:pPr>
      <w:r w:rsidRPr="00FF0C6C">
        <w:rPr>
          <w:rFonts w:ascii="仿宋" w:eastAsia="仿宋" w:hAnsi="仿宋" w:cs="仿宋" w:hint="eastAsia"/>
          <w:szCs w:val="21"/>
        </w:rPr>
        <w:t>明确数据精度、完整性、一致性等指标的检验内容、方法及合格评价标准。</w:t>
      </w:r>
    </w:p>
    <w:p w14:paraId="0BF725AE" w14:textId="77777777" w:rsidR="00FF0C6C" w:rsidRPr="00FF0C6C" w:rsidRDefault="00FF0C6C" w:rsidP="00FF0C6C">
      <w:pPr>
        <w:pStyle w:val="affb"/>
        <w:ind w:firstLineChars="0" w:firstLine="0"/>
        <w:rPr>
          <w:rFonts w:ascii="仿宋" w:eastAsia="仿宋" w:hAnsi="仿宋" w:cs="仿宋"/>
          <w:b/>
          <w:bCs/>
          <w:szCs w:val="21"/>
        </w:rPr>
      </w:pPr>
      <w:r w:rsidRPr="00FF0C6C">
        <w:rPr>
          <w:rFonts w:ascii="仿宋" w:eastAsia="仿宋" w:hAnsi="仿宋" w:cs="仿宋" w:hint="eastAsia"/>
          <w:b/>
          <w:bCs/>
          <w:szCs w:val="21"/>
        </w:rPr>
        <w:lastRenderedPageBreak/>
        <w:t>8.</w:t>
      </w:r>
      <w:r w:rsidRPr="00FF0C6C">
        <w:rPr>
          <w:rFonts w:ascii="仿宋" w:eastAsia="仿宋" w:hAnsi="仿宋" w:cs="仿宋" w:hint="eastAsia"/>
          <w:b/>
          <w:bCs/>
          <w:szCs w:val="21"/>
        </w:rPr>
        <w:t>成果输出与档案管理</w:t>
      </w:r>
    </w:p>
    <w:p w14:paraId="649575FC" w14:textId="41C05E87" w:rsidR="00D81B12" w:rsidRDefault="00FF0C6C" w:rsidP="00FF0C6C">
      <w:pPr>
        <w:pStyle w:val="affb"/>
        <w:ind w:firstLineChars="0" w:firstLine="0"/>
        <w:rPr>
          <w:rFonts w:ascii="仿宋" w:eastAsia="仿宋" w:hAnsi="仿宋" w:cs="仿宋" w:hint="eastAsia"/>
          <w:szCs w:val="21"/>
        </w:rPr>
      </w:pPr>
      <w:r w:rsidRPr="00FF0C6C">
        <w:rPr>
          <w:rFonts w:ascii="仿宋" w:eastAsia="仿宋" w:hAnsi="仿宋" w:cs="仿宋" w:hint="eastAsia"/>
          <w:szCs w:val="21"/>
        </w:rPr>
        <w:t>规定数据成果、文档成果的输出要求及全流程档案的整理、存储、管理规范。</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bookmarkStart w:id="49" w:name="_Toc26986532"/>
      <w:bookmarkEnd w:id="49"/>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headerReference w:type="default" r:id="rId9"/>
      <w:footerReference w:type="even" r:id="rId10"/>
      <w:footerReference w:type="default" r:id="rId11"/>
      <w:headerReference w:type="first" r:id="rId12"/>
      <w:footerReference w:type="first" r:id="rId13"/>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2379" w14:textId="77777777" w:rsidR="005D30F1" w:rsidRDefault="005D30F1">
      <w:r>
        <w:separator/>
      </w:r>
    </w:p>
  </w:endnote>
  <w:endnote w:type="continuationSeparator" w:id="0">
    <w:p w14:paraId="121B3682" w14:textId="77777777" w:rsidR="005D30F1" w:rsidRDefault="005D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4420" w14:textId="77777777" w:rsidR="004453DE" w:rsidRDefault="004453DE">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4AD6" w14:textId="77777777" w:rsidR="005D30F1" w:rsidRDefault="005D30F1">
      <w:r>
        <w:separator/>
      </w:r>
    </w:p>
  </w:footnote>
  <w:footnote w:type="continuationSeparator" w:id="0">
    <w:p w14:paraId="40B5372C" w14:textId="77777777" w:rsidR="005D30F1" w:rsidRDefault="005D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9166" w14:textId="77777777" w:rsidR="004453DE" w:rsidRDefault="004453DE">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E0C9" w14:textId="77777777" w:rsidR="004453DE" w:rsidRDefault="004453D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6FB"/>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3BD7"/>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335E"/>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659"/>
    <w:rsid w:val="00257E82"/>
    <w:rsid w:val="002608E9"/>
    <w:rsid w:val="002611EE"/>
    <w:rsid w:val="002622C0"/>
    <w:rsid w:val="002638DE"/>
    <w:rsid w:val="0026395F"/>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884"/>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A37"/>
    <w:rsid w:val="00394E86"/>
    <w:rsid w:val="0039519D"/>
    <w:rsid w:val="003954EB"/>
    <w:rsid w:val="0039600C"/>
    <w:rsid w:val="003960C2"/>
    <w:rsid w:val="00396E95"/>
    <w:rsid w:val="003A0253"/>
    <w:rsid w:val="003A17C5"/>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0B7"/>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53DE"/>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B7F0C"/>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6D3"/>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5A23"/>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38FB"/>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3732"/>
    <w:rsid w:val="005C4C6B"/>
    <w:rsid w:val="005C6DB5"/>
    <w:rsid w:val="005C6DC0"/>
    <w:rsid w:val="005C6E38"/>
    <w:rsid w:val="005D30F1"/>
    <w:rsid w:val="005D43BD"/>
    <w:rsid w:val="005D4493"/>
    <w:rsid w:val="005D5E54"/>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5F7C5B"/>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6776"/>
    <w:rsid w:val="0061716C"/>
    <w:rsid w:val="00617380"/>
    <w:rsid w:val="00621138"/>
    <w:rsid w:val="00621392"/>
    <w:rsid w:val="0062238C"/>
    <w:rsid w:val="006225FE"/>
    <w:rsid w:val="00622ADC"/>
    <w:rsid w:val="006243A1"/>
    <w:rsid w:val="006243EE"/>
    <w:rsid w:val="006265D9"/>
    <w:rsid w:val="00630A25"/>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3CFA"/>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740"/>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0DDC"/>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2A49"/>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C8C"/>
    <w:rsid w:val="00A02E43"/>
    <w:rsid w:val="00A0376C"/>
    <w:rsid w:val="00A046F3"/>
    <w:rsid w:val="00A05BAA"/>
    <w:rsid w:val="00A065F9"/>
    <w:rsid w:val="00A06752"/>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641"/>
    <w:rsid w:val="00A96DAB"/>
    <w:rsid w:val="00A97950"/>
    <w:rsid w:val="00A97A28"/>
    <w:rsid w:val="00AA038C"/>
    <w:rsid w:val="00AA0ECB"/>
    <w:rsid w:val="00AA20F6"/>
    <w:rsid w:val="00AA347E"/>
    <w:rsid w:val="00AA3D04"/>
    <w:rsid w:val="00AA5071"/>
    <w:rsid w:val="00AA614A"/>
    <w:rsid w:val="00AA64F6"/>
    <w:rsid w:val="00AA6543"/>
    <w:rsid w:val="00AA7A09"/>
    <w:rsid w:val="00AA7DCE"/>
    <w:rsid w:val="00AB0944"/>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076"/>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15A"/>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565C"/>
    <w:rsid w:val="00B76348"/>
    <w:rsid w:val="00B768C2"/>
    <w:rsid w:val="00B7754C"/>
    <w:rsid w:val="00B77B7F"/>
    <w:rsid w:val="00B802B0"/>
    <w:rsid w:val="00B805AF"/>
    <w:rsid w:val="00B819B3"/>
    <w:rsid w:val="00B81ACB"/>
    <w:rsid w:val="00B82989"/>
    <w:rsid w:val="00B82C27"/>
    <w:rsid w:val="00B82E02"/>
    <w:rsid w:val="00B83C95"/>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2AF"/>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E6FB0"/>
    <w:rsid w:val="00BF154D"/>
    <w:rsid w:val="00BF2244"/>
    <w:rsid w:val="00BF423F"/>
    <w:rsid w:val="00BF525E"/>
    <w:rsid w:val="00BF617A"/>
    <w:rsid w:val="00BF6D1A"/>
    <w:rsid w:val="00BF7708"/>
    <w:rsid w:val="00BF7F56"/>
    <w:rsid w:val="00C00771"/>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2C0D"/>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4D3C"/>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9A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2C4F"/>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1B12"/>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5C3F"/>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1D93"/>
    <w:rsid w:val="00DF21E9"/>
    <w:rsid w:val="00DF2DB8"/>
    <w:rsid w:val="00DF3902"/>
    <w:rsid w:val="00DF3F19"/>
    <w:rsid w:val="00DF40DA"/>
    <w:rsid w:val="00DF42AF"/>
    <w:rsid w:val="00DF5F48"/>
    <w:rsid w:val="00DF6DF9"/>
    <w:rsid w:val="00DF7765"/>
    <w:rsid w:val="00E007DC"/>
    <w:rsid w:val="00E00F14"/>
    <w:rsid w:val="00E0396C"/>
    <w:rsid w:val="00E03B92"/>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6EB"/>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17B1"/>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56ACF"/>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6C"/>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1789</Words>
  <Characters>2059</Characters>
  <Application>Microsoft Office Word</Application>
  <DocSecurity>0</DocSecurity>
  <Lines>76</Lines>
  <Paragraphs>80</Paragraphs>
  <ScaleCrop>false</ScaleCrop>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