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91</w:t>
      </w:r>
      <w:r>
        <w:rPr>
          <w:rFonts w:hint="eastAsia" w:ascii="黑体" w:hAnsi="黑体" w:eastAsia="黑体" w:cs="黑体"/>
          <w:szCs w:val="22"/>
        </w:rPr>
        <w:t>.</w:t>
      </w:r>
      <w:r>
        <w:rPr>
          <w:rFonts w:hint="eastAsia" w:ascii="黑体" w:hAnsi="黑体" w:eastAsia="黑体" w:cs="黑体"/>
          <w:szCs w:val="22"/>
          <w:lang w:val="en-US" w:eastAsia="zh-CN"/>
        </w:rPr>
        <w:t>14</w:t>
      </w:r>
      <w:r>
        <w:rPr>
          <w:rFonts w:hint="eastAsia" w:ascii="黑体" w:hAnsi="黑体" w:eastAsia="黑体" w:cs="黑体"/>
          <w:szCs w:val="22"/>
        </w:rPr>
        <w:t>0</w:t>
      </w:r>
      <w:r>
        <w:rPr>
          <w:rFonts w:hint="eastAsia" w:ascii="黑体" w:hAnsi="黑体" w:eastAsia="黑体" w:cs="黑体"/>
          <w:szCs w:val="22"/>
          <w:lang w:val="en-US" w:eastAsia="zh-CN"/>
        </w:rPr>
        <w:t>.60</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P</w:t>
      </w:r>
      <w:r>
        <w:rPr>
          <w:rFonts w:hint="eastAsia" w:ascii="黑体" w:hAnsi="黑体" w:eastAsia="黑体" w:cs="黑体"/>
          <w:szCs w:val="22"/>
        </w:rPr>
        <w:t xml:space="preserve"> </w:t>
      </w:r>
      <w:r>
        <w:rPr>
          <w:rFonts w:hint="eastAsia" w:ascii="黑体" w:hAnsi="黑体" w:eastAsia="黑体" w:cs="黑体"/>
          <w:szCs w:val="22"/>
          <w:lang w:val="en-US" w:eastAsia="zh-CN"/>
        </w:rPr>
        <w:t>40</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25AC21B8">
      <w:pPr>
        <w:spacing w:line="360" w:lineRule="auto"/>
        <w:rPr>
          <w:rFonts w:ascii="Times New Roman" w:hAnsi="Times New Roman" w:eastAsia="宋体" w:cs="Times New Roman"/>
          <w:szCs w:val="22"/>
        </w:rPr>
      </w:pPr>
    </w:p>
    <w:p w14:paraId="2E3D06D4">
      <w:pPr>
        <w:spacing w:line="360" w:lineRule="auto"/>
        <w:rPr>
          <w:rFonts w:ascii="Times New Roman" w:hAnsi="Times New Roman" w:eastAsia="宋体" w:cs="Times New Roman"/>
          <w:szCs w:val="22"/>
        </w:rPr>
      </w:pPr>
    </w:p>
    <w:p w14:paraId="118AED41">
      <w:pPr>
        <w:spacing w:line="360" w:lineRule="auto"/>
        <w:jc w:val="center"/>
        <w:rPr>
          <w:rFonts w:ascii="Times New Roman" w:hAnsi="Times New Roman" w:eastAsia="黑体" w:cs="Times New Roman"/>
          <w:sz w:val="52"/>
          <w:szCs w:val="52"/>
        </w:rPr>
      </w:pPr>
    </w:p>
    <w:p w14:paraId="6D94EED4">
      <w:pPr>
        <w:spacing w:line="360" w:lineRule="auto"/>
        <w:jc w:val="center"/>
        <w:rPr>
          <w:rFonts w:ascii="Times New Roman" w:hAnsi="Times New Roman" w:eastAsia="黑体" w:cs="Times New Roman"/>
          <w:sz w:val="52"/>
          <w:szCs w:val="52"/>
        </w:rPr>
      </w:pPr>
    </w:p>
    <w:p w14:paraId="20C056D8">
      <w:pPr>
        <w:spacing w:line="360" w:lineRule="auto"/>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城镇供水管网漏损智能监测与控制技术规范</w:t>
      </w:r>
    </w:p>
    <w:p w14:paraId="3A02617A">
      <w:pPr>
        <w:spacing w:line="360" w:lineRule="auto"/>
        <w:jc w:val="center"/>
        <w:rPr>
          <w:rFonts w:ascii="Times New Roman" w:hAnsi="Times New Roman" w:eastAsia="黑体" w:cs="Times New Roman"/>
          <w:szCs w:val="21"/>
        </w:rPr>
      </w:pPr>
    </w:p>
    <w:p w14:paraId="690AD6A7">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Specification for intelligent monitoring and control technology of water supply network leakage in towns and cities</w:t>
      </w:r>
    </w:p>
    <w:p w14:paraId="4B93F211">
      <w:pPr>
        <w:spacing w:line="360" w:lineRule="auto"/>
        <w:jc w:val="center"/>
        <w:rPr>
          <w:rFonts w:ascii="Times New Roman" w:hAnsi="Times New Roman" w:eastAsia="宋体" w:cs="Times New Roman"/>
          <w:szCs w:val="22"/>
        </w:rPr>
      </w:pPr>
      <w:r>
        <w:rPr>
          <w:rFonts w:hint="eastAsia" w:ascii="黑体" w:hAnsi="黑体" w:eastAsia="黑体" w:cs="黑体"/>
          <w:sz w:val="44"/>
          <w:szCs w:val="48"/>
          <w:lang w:val="en-US" w:eastAsia="zh-CN"/>
        </w:rPr>
        <w:t>（征求意见稿）</w:t>
      </w: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2591B8F7">
      <w:pPr>
        <w:spacing w:line="360" w:lineRule="auto"/>
        <w:jc w:val="left"/>
        <w:rPr>
          <w:rFonts w:ascii="Times New Roman" w:hAnsi="Times New Roman" w:eastAsia="黑体" w:cs="Times New Roman"/>
          <w:sz w:val="28"/>
          <w:szCs w:val="28"/>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7EA1BE5F">
      <w:pPr>
        <w:pStyle w:val="95"/>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p>
    <w:p w14:paraId="084D9F47">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_Toc30659 </w:instrText>
      </w:r>
      <w:r>
        <w:rPr>
          <w:rFonts w:hint="eastAsia" w:ascii="宋体" w:hAnsi="宋体" w:eastAsia="宋体" w:cs="宋体"/>
        </w:rPr>
        <w:fldChar w:fldCharType="separate"/>
      </w:r>
      <w:r>
        <w:rPr>
          <w:rFonts w:hint="eastAsia"/>
          <w:lang w:eastAsia="zh-CN"/>
        </w:rPr>
        <w:t>前</w:t>
      </w:r>
      <w:r>
        <w:t>言</w:t>
      </w:r>
      <w:r>
        <w:tab/>
      </w:r>
      <w:r>
        <w:fldChar w:fldCharType="begin"/>
      </w:r>
      <w:r>
        <w:instrText xml:space="preserve"> PAGEREF _Toc30659 \h </w:instrText>
      </w:r>
      <w:r>
        <w:fldChar w:fldCharType="separate"/>
      </w:r>
      <w:r>
        <w:t>III</w:t>
      </w:r>
      <w:r>
        <w:fldChar w:fldCharType="end"/>
      </w:r>
      <w:r>
        <w:rPr>
          <w:rFonts w:hint="eastAsia" w:ascii="宋体" w:hAnsi="宋体" w:eastAsia="宋体" w:cs="宋体"/>
        </w:rPr>
        <w:fldChar w:fldCharType="end"/>
      </w:r>
    </w:p>
    <w:p w14:paraId="270642F8">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_Toc2562 </w:instrText>
      </w:r>
      <w:r>
        <w:rPr>
          <w:rFonts w:hint="eastAsia" w:ascii="宋体" w:hAnsi="宋体" w:eastAsia="宋体" w:cs="宋体"/>
        </w:rPr>
        <w:fldChar w:fldCharType="separate"/>
      </w:r>
      <w:r>
        <w:rPr>
          <w:rFonts w:hint="eastAsia" w:ascii="黑体" w:eastAsia="黑体"/>
          <w:i w:val="0"/>
        </w:rPr>
        <w:t xml:space="preserve">1 </w:t>
      </w:r>
      <w:r>
        <w:rPr>
          <w:rFonts w:hint="eastAsia"/>
        </w:rPr>
        <w:t>范围</w:t>
      </w:r>
      <w:r>
        <w:tab/>
      </w:r>
      <w:r>
        <w:fldChar w:fldCharType="begin"/>
      </w:r>
      <w:r>
        <w:instrText xml:space="preserve"> PAGEREF _Toc2562 \h </w:instrText>
      </w:r>
      <w:r>
        <w:fldChar w:fldCharType="separate"/>
      </w:r>
      <w:r>
        <w:t>4</w:t>
      </w:r>
      <w:r>
        <w:fldChar w:fldCharType="end"/>
      </w:r>
      <w:r>
        <w:rPr>
          <w:rFonts w:hint="eastAsia" w:ascii="宋体" w:hAnsi="宋体" w:eastAsia="宋体" w:cs="宋体"/>
        </w:rPr>
        <w:fldChar w:fldCharType="end"/>
      </w:r>
    </w:p>
    <w:p w14:paraId="686C1EBB">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_Toc20531 </w:instrText>
      </w:r>
      <w:r>
        <w:rPr>
          <w:rFonts w:hint="eastAsia" w:ascii="宋体" w:hAnsi="宋体" w:eastAsia="宋体" w:cs="宋体"/>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_Toc20531 \h </w:instrText>
      </w:r>
      <w:r>
        <w:fldChar w:fldCharType="separate"/>
      </w:r>
      <w:r>
        <w:t>4</w:t>
      </w:r>
      <w:r>
        <w:fldChar w:fldCharType="end"/>
      </w:r>
      <w:r>
        <w:rPr>
          <w:rFonts w:hint="eastAsia" w:ascii="宋体" w:hAnsi="宋体" w:eastAsia="宋体" w:cs="宋体"/>
        </w:rPr>
        <w:fldChar w:fldCharType="end"/>
      </w:r>
    </w:p>
    <w:p w14:paraId="7D5DE4F4">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_Toc11237 </w:instrText>
      </w:r>
      <w:r>
        <w:rPr>
          <w:rFonts w:hint="eastAsia" w:ascii="宋体" w:hAnsi="宋体" w:eastAsia="宋体" w:cs="宋体"/>
        </w:rPr>
        <w:fldChar w:fldCharType="separate"/>
      </w:r>
      <w:r>
        <w:rPr>
          <w:rFonts w:hint="eastAsia" w:ascii="黑体" w:eastAsia="黑体"/>
          <w:i w:val="0"/>
        </w:rPr>
        <w:t xml:space="preserve">3 </w:t>
      </w:r>
      <w:r>
        <w:rPr>
          <w:rFonts w:hint="eastAsia"/>
          <w:szCs w:val="21"/>
        </w:rPr>
        <w:t>术语和定义</w:t>
      </w:r>
      <w:bookmarkStart w:id="91" w:name="_GoBack"/>
      <w:bookmarkEnd w:id="91"/>
      <w:r>
        <w:tab/>
      </w:r>
      <w:r>
        <w:fldChar w:fldCharType="begin"/>
      </w:r>
      <w:r>
        <w:instrText xml:space="preserve"> PAGEREF _Toc11237 \h </w:instrText>
      </w:r>
      <w:r>
        <w:fldChar w:fldCharType="separate"/>
      </w:r>
      <w:r>
        <w:t>4</w:t>
      </w:r>
      <w:r>
        <w:fldChar w:fldCharType="end"/>
      </w:r>
      <w:r>
        <w:rPr>
          <w:rFonts w:hint="eastAsia" w:ascii="宋体" w:hAnsi="宋体" w:eastAsia="宋体" w:cs="宋体"/>
        </w:rPr>
        <w:fldChar w:fldCharType="end"/>
      </w:r>
    </w:p>
    <w:p w14:paraId="2B9AA735">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_Toc16320 </w:instrText>
      </w:r>
      <w:r>
        <w:rPr>
          <w:rFonts w:hint="eastAsia" w:ascii="宋体" w:hAnsi="宋体" w:eastAsia="宋体" w:cs="宋体"/>
        </w:rPr>
        <w:fldChar w:fldCharType="separate"/>
      </w:r>
      <w:r>
        <w:rPr>
          <w:rFonts w:hint="eastAsia" w:ascii="黑体" w:eastAsia="黑体"/>
          <w:i w:val="0"/>
        </w:rPr>
        <w:t xml:space="preserve">4 </w:t>
      </w:r>
      <w:r>
        <w:rPr>
          <w:rFonts w:hint="eastAsia"/>
          <w:lang w:val="en-US" w:eastAsia="zh-CN"/>
        </w:rPr>
        <w:t>总体要求</w:t>
      </w:r>
      <w:r>
        <w:tab/>
      </w:r>
      <w:r>
        <w:fldChar w:fldCharType="begin"/>
      </w:r>
      <w:r>
        <w:instrText xml:space="preserve"> PAGEREF _Toc16320 \h </w:instrText>
      </w:r>
      <w:r>
        <w:fldChar w:fldCharType="separate"/>
      </w:r>
      <w:r>
        <w:t>5</w:t>
      </w:r>
      <w:r>
        <w:fldChar w:fldCharType="end"/>
      </w:r>
      <w:r>
        <w:rPr>
          <w:rFonts w:hint="eastAsia" w:ascii="宋体" w:hAnsi="宋体" w:eastAsia="宋体" w:cs="宋体"/>
        </w:rPr>
        <w:fldChar w:fldCharType="end"/>
      </w:r>
    </w:p>
    <w:p w14:paraId="164ABC1E">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_Toc27054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lang w:val="en-US" w:eastAsia="zh-CN"/>
        </w:rPr>
        <w:t>基本原则</w:t>
      </w:r>
      <w:r>
        <w:tab/>
      </w:r>
      <w:r>
        <w:fldChar w:fldCharType="begin"/>
      </w:r>
      <w:r>
        <w:instrText xml:space="preserve"> PAGEREF _Toc27054 \h </w:instrText>
      </w:r>
      <w:r>
        <w:fldChar w:fldCharType="separate"/>
      </w:r>
      <w:r>
        <w:t>5</w:t>
      </w:r>
      <w:r>
        <w:fldChar w:fldCharType="end"/>
      </w:r>
      <w:r>
        <w:rPr>
          <w:rFonts w:hint="eastAsia" w:ascii="宋体" w:hAnsi="宋体" w:eastAsia="宋体" w:cs="宋体"/>
        </w:rPr>
        <w:fldChar w:fldCharType="end"/>
      </w:r>
    </w:p>
    <w:p w14:paraId="2D1C0D21">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_Toc20596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lang w:val="en-US" w:eastAsia="zh-CN"/>
        </w:rPr>
        <w:t>体系架构</w:t>
      </w:r>
      <w:r>
        <w:tab/>
      </w:r>
      <w:r>
        <w:fldChar w:fldCharType="begin"/>
      </w:r>
      <w:r>
        <w:instrText xml:space="preserve"> PAGEREF _Toc20596 \h </w:instrText>
      </w:r>
      <w:r>
        <w:fldChar w:fldCharType="separate"/>
      </w:r>
      <w:r>
        <w:t>5</w:t>
      </w:r>
      <w:r>
        <w:fldChar w:fldCharType="end"/>
      </w:r>
      <w:r>
        <w:rPr>
          <w:rFonts w:hint="eastAsia" w:ascii="宋体" w:hAnsi="宋体" w:eastAsia="宋体" w:cs="宋体"/>
        </w:rPr>
        <w:fldChar w:fldCharType="end"/>
      </w:r>
    </w:p>
    <w:p w14:paraId="5A82EA22">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_Toc13220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lang w:val="en-US" w:eastAsia="zh-CN"/>
        </w:rPr>
        <w:t>数据精度要求</w:t>
      </w:r>
      <w:r>
        <w:tab/>
      </w:r>
      <w:r>
        <w:fldChar w:fldCharType="begin"/>
      </w:r>
      <w:r>
        <w:instrText xml:space="preserve"> PAGEREF _Toc13220 \h </w:instrText>
      </w:r>
      <w:r>
        <w:fldChar w:fldCharType="separate"/>
      </w:r>
      <w:r>
        <w:t>5</w:t>
      </w:r>
      <w:r>
        <w:fldChar w:fldCharType="end"/>
      </w:r>
      <w:r>
        <w:rPr>
          <w:rFonts w:hint="eastAsia" w:ascii="宋体" w:hAnsi="宋体" w:eastAsia="宋体" w:cs="宋体"/>
        </w:rPr>
        <w:fldChar w:fldCharType="end"/>
      </w:r>
    </w:p>
    <w:p w14:paraId="3443E192">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_Toc13312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eastAsia"/>
          <w:lang w:val="en-US" w:eastAsia="zh-CN"/>
        </w:rPr>
        <w:t>系统安全要求</w:t>
      </w:r>
      <w:r>
        <w:tab/>
      </w:r>
      <w:r>
        <w:fldChar w:fldCharType="begin"/>
      </w:r>
      <w:r>
        <w:instrText xml:space="preserve"> PAGEREF _Toc13312 \h </w:instrText>
      </w:r>
      <w:r>
        <w:fldChar w:fldCharType="separate"/>
      </w:r>
      <w:r>
        <w:t>5</w:t>
      </w:r>
      <w:r>
        <w:fldChar w:fldCharType="end"/>
      </w:r>
      <w:r>
        <w:rPr>
          <w:rFonts w:hint="eastAsia" w:ascii="宋体" w:hAnsi="宋体" w:eastAsia="宋体" w:cs="宋体"/>
        </w:rPr>
        <w:fldChar w:fldCharType="end"/>
      </w:r>
    </w:p>
    <w:p w14:paraId="50EB7A41">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_Toc9175 </w:instrText>
      </w:r>
      <w:r>
        <w:rPr>
          <w:rFonts w:hint="eastAsia" w:ascii="宋体" w:hAnsi="宋体" w:eastAsia="宋体" w:cs="宋体"/>
        </w:rPr>
        <w:fldChar w:fldCharType="separate"/>
      </w:r>
      <w:r>
        <w:rPr>
          <w:rFonts w:hint="eastAsia" w:ascii="黑体" w:eastAsia="黑体"/>
          <w:i w:val="0"/>
          <w:lang w:val="en-US" w:eastAsia="zh-CN"/>
        </w:rPr>
        <w:t xml:space="preserve">5 </w:t>
      </w:r>
      <w:r>
        <w:rPr>
          <w:rFonts w:hint="default"/>
          <w:lang w:val="en-US" w:eastAsia="zh-CN"/>
        </w:rPr>
        <w:t>监测技术与布设</w:t>
      </w:r>
      <w:r>
        <w:tab/>
      </w:r>
      <w:r>
        <w:fldChar w:fldCharType="begin"/>
      </w:r>
      <w:r>
        <w:instrText xml:space="preserve"> PAGEREF _Toc9175 \h </w:instrText>
      </w:r>
      <w:r>
        <w:fldChar w:fldCharType="separate"/>
      </w:r>
      <w:r>
        <w:t>5</w:t>
      </w:r>
      <w:r>
        <w:fldChar w:fldCharType="end"/>
      </w:r>
      <w:r>
        <w:rPr>
          <w:rFonts w:hint="eastAsia" w:ascii="宋体" w:hAnsi="宋体" w:eastAsia="宋体" w:cs="宋体"/>
        </w:rPr>
        <w:fldChar w:fldCharType="end"/>
      </w:r>
    </w:p>
    <w:p w14:paraId="5BBEEFC6">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_Toc30078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lang w:val="en-US" w:eastAsia="zh-CN"/>
        </w:rPr>
        <w:t>流量监测设备</w:t>
      </w:r>
      <w:r>
        <w:tab/>
      </w:r>
      <w:r>
        <w:fldChar w:fldCharType="begin"/>
      </w:r>
      <w:r>
        <w:instrText xml:space="preserve"> PAGEREF _Toc30078 \h </w:instrText>
      </w:r>
      <w:r>
        <w:fldChar w:fldCharType="separate"/>
      </w:r>
      <w:r>
        <w:t>6</w:t>
      </w:r>
      <w:r>
        <w:fldChar w:fldCharType="end"/>
      </w:r>
      <w:r>
        <w:rPr>
          <w:rFonts w:hint="eastAsia" w:ascii="宋体" w:hAnsi="宋体" w:eastAsia="宋体" w:cs="宋体"/>
        </w:rPr>
        <w:fldChar w:fldCharType="end"/>
      </w:r>
    </w:p>
    <w:p w14:paraId="7AC4A7AA">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_Toc312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lang w:val="en-US" w:eastAsia="zh-CN"/>
        </w:rPr>
        <w:t>压力监测设备</w:t>
      </w:r>
      <w:r>
        <w:tab/>
      </w:r>
      <w:r>
        <w:fldChar w:fldCharType="begin"/>
      </w:r>
      <w:r>
        <w:instrText xml:space="preserve"> PAGEREF _Toc312 \h </w:instrText>
      </w:r>
      <w:r>
        <w:fldChar w:fldCharType="separate"/>
      </w:r>
      <w:r>
        <w:t>6</w:t>
      </w:r>
      <w:r>
        <w:fldChar w:fldCharType="end"/>
      </w:r>
      <w:r>
        <w:rPr>
          <w:rFonts w:hint="eastAsia" w:ascii="宋体" w:hAnsi="宋体" w:eastAsia="宋体" w:cs="宋体"/>
        </w:rPr>
        <w:fldChar w:fldCharType="end"/>
      </w:r>
    </w:p>
    <w:p w14:paraId="51C492F4">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_Toc28528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default"/>
          <w:lang w:val="en-US" w:eastAsia="zh-CN"/>
        </w:rPr>
        <w:t>噪声监测设备</w:t>
      </w:r>
      <w:r>
        <w:tab/>
      </w:r>
      <w:r>
        <w:fldChar w:fldCharType="begin"/>
      </w:r>
      <w:r>
        <w:instrText xml:space="preserve"> PAGEREF _Toc28528 \h </w:instrText>
      </w:r>
      <w:r>
        <w:fldChar w:fldCharType="separate"/>
      </w:r>
      <w:r>
        <w:t>6</w:t>
      </w:r>
      <w:r>
        <w:fldChar w:fldCharType="end"/>
      </w:r>
      <w:r>
        <w:rPr>
          <w:rFonts w:hint="eastAsia" w:ascii="宋体" w:hAnsi="宋体" w:eastAsia="宋体" w:cs="宋体"/>
        </w:rPr>
        <w:fldChar w:fldCharType="end"/>
      </w:r>
    </w:p>
    <w:p w14:paraId="03B232FD">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_Toc30279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default"/>
          <w:lang w:val="en-US" w:eastAsia="zh-CN"/>
        </w:rPr>
        <w:t>监测设备布设原则与方法</w:t>
      </w:r>
      <w:r>
        <w:tab/>
      </w:r>
      <w:r>
        <w:fldChar w:fldCharType="begin"/>
      </w:r>
      <w:r>
        <w:instrText xml:space="preserve"> PAGEREF _Toc30279 \h </w:instrText>
      </w:r>
      <w:r>
        <w:fldChar w:fldCharType="separate"/>
      </w:r>
      <w:r>
        <w:t>6</w:t>
      </w:r>
      <w:r>
        <w:fldChar w:fldCharType="end"/>
      </w:r>
      <w:r>
        <w:rPr>
          <w:rFonts w:hint="eastAsia" w:ascii="宋体" w:hAnsi="宋体" w:eastAsia="宋体" w:cs="宋体"/>
        </w:rPr>
        <w:fldChar w:fldCharType="end"/>
      </w:r>
    </w:p>
    <w:p w14:paraId="003B74BD">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_Toc7220 </w:instrText>
      </w:r>
      <w:r>
        <w:rPr>
          <w:rFonts w:hint="eastAsia" w:ascii="宋体" w:hAnsi="宋体" w:eastAsia="宋体" w:cs="宋体"/>
        </w:rPr>
        <w:fldChar w:fldCharType="separate"/>
      </w:r>
      <w:r>
        <w:rPr>
          <w:rFonts w:hint="eastAsia" w:ascii="黑体" w:eastAsia="黑体"/>
          <w:i w:val="0"/>
          <w:lang w:val="en-US" w:eastAsia="zh-CN"/>
        </w:rPr>
        <w:t xml:space="preserve">6 </w:t>
      </w:r>
      <w:r>
        <w:rPr>
          <w:rFonts w:hint="eastAsia"/>
          <w:lang w:val="en-US" w:eastAsia="zh-CN"/>
        </w:rPr>
        <w:t>数据采集、传输与管理</w:t>
      </w:r>
      <w:r>
        <w:tab/>
      </w:r>
      <w:r>
        <w:fldChar w:fldCharType="begin"/>
      </w:r>
      <w:r>
        <w:instrText xml:space="preserve"> PAGEREF _Toc7220 \h </w:instrText>
      </w:r>
      <w:r>
        <w:fldChar w:fldCharType="separate"/>
      </w:r>
      <w:r>
        <w:t>6</w:t>
      </w:r>
      <w:r>
        <w:fldChar w:fldCharType="end"/>
      </w:r>
      <w:r>
        <w:rPr>
          <w:rFonts w:hint="eastAsia" w:ascii="宋体" w:hAnsi="宋体" w:eastAsia="宋体" w:cs="宋体"/>
        </w:rPr>
        <w:fldChar w:fldCharType="end"/>
      </w:r>
    </w:p>
    <w:p w14:paraId="3CAC7EC7">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_Toc11842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lang w:val="en-US" w:eastAsia="zh-CN"/>
        </w:rPr>
        <w:t>采集频率</w:t>
      </w:r>
      <w:r>
        <w:tab/>
      </w:r>
      <w:r>
        <w:fldChar w:fldCharType="begin"/>
      </w:r>
      <w:r>
        <w:instrText xml:space="preserve"> PAGEREF _Toc11842 \h </w:instrText>
      </w:r>
      <w:r>
        <w:fldChar w:fldCharType="separate"/>
      </w:r>
      <w:r>
        <w:t>6</w:t>
      </w:r>
      <w:r>
        <w:fldChar w:fldCharType="end"/>
      </w:r>
      <w:r>
        <w:rPr>
          <w:rFonts w:hint="eastAsia" w:ascii="宋体" w:hAnsi="宋体" w:eastAsia="宋体" w:cs="宋体"/>
        </w:rPr>
        <w:fldChar w:fldCharType="end"/>
      </w:r>
    </w:p>
    <w:p w14:paraId="359725CC">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_Toc4870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lang w:val="en-US" w:eastAsia="zh-CN"/>
        </w:rPr>
        <w:t>传输协议</w:t>
      </w:r>
      <w:r>
        <w:tab/>
      </w:r>
      <w:r>
        <w:fldChar w:fldCharType="begin"/>
      </w:r>
      <w:r>
        <w:instrText xml:space="preserve"> PAGEREF _Toc4870 \h </w:instrText>
      </w:r>
      <w:r>
        <w:fldChar w:fldCharType="separate"/>
      </w:r>
      <w:r>
        <w:t>6</w:t>
      </w:r>
      <w:r>
        <w:fldChar w:fldCharType="end"/>
      </w:r>
      <w:r>
        <w:rPr>
          <w:rFonts w:hint="eastAsia" w:ascii="宋体" w:hAnsi="宋体" w:eastAsia="宋体" w:cs="宋体"/>
        </w:rPr>
        <w:fldChar w:fldCharType="end"/>
      </w:r>
    </w:p>
    <w:p w14:paraId="6469C98C">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_Toc24743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lang w:val="en-US" w:eastAsia="zh-CN"/>
        </w:rPr>
        <w:t>存储格式</w:t>
      </w:r>
      <w:r>
        <w:tab/>
      </w:r>
      <w:r>
        <w:fldChar w:fldCharType="begin"/>
      </w:r>
      <w:r>
        <w:instrText xml:space="preserve"> PAGEREF _Toc24743 \h </w:instrText>
      </w:r>
      <w:r>
        <w:fldChar w:fldCharType="separate"/>
      </w:r>
      <w:r>
        <w:t>6</w:t>
      </w:r>
      <w:r>
        <w:fldChar w:fldCharType="end"/>
      </w:r>
      <w:r>
        <w:rPr>
          <w:rFonts w:hint="eastAsia" w:ascii="宋体" w:hAnsi="宋体" w:eastAsia="宋体" w:cs="宋体"/>
        </w:rPr>
        <w:fldChar w:fldCharType="end"/>
      </w:r>
    </w:p>
    <w:p w14:paraId="41932920">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_Toc24043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lang w:val="en-US" w:eastAsia="zh-CN"/>
        </w:rPr>
        <w:t>质量控制</w:t>
      </w:r>
      <w:r>
        <w:tab/>
      </w:r>
      <w:r>
        <w:fldChar w:fldCharType="begin"/>
      </w:r>
      <w:r>
        <w:instrText xml:space="preserve"> PAGEREF _Toc24043 \h </w:instrText>
      </w:r>
      <w:r>
        <w:fldChar w:fldCharType="separate"/>
      </w:r>
      <w:r>
        <w:t>6</w:t>
      </w:r>
      <w:r>
        <w:fldChar w:fldCharType="end"/>
      </w:r>
      <w:r>
        <w:rPr>
          <w:rFonts w:hint="eastAsia" w:ascii="宋体" w:hAnsi="宋体" w:eastAsia="宋体" w:cs="宋体"/>
        </w:rPr>
        <w:fldChar w:fldCharType="end"/>
      </w:r>
    </w:p>
    <w:p w14:paraId="79E068ED">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_Toc26074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lang w:val="en-US" w:eastAsia="zh-CN"/>
        </w:rPr>
        <w:t>数据安全</w:t>
      </w:r>
      <w:r>
        <w:tab/>
      </w:r>
      <w:r>
        <w:fldChar w:fldCharType="begin"/>
      </w:r>
      <w:r>
        <w:instrText xml:space="preserve"> PAGEREF _Toc26074 \h </w:instrText>
      </w:r>
      <w:r>
        <w:fldChar w:fldCharType="separate"/>
      </w:r>
      <w:r>
        <w:t>7</w:t>
      </w:r>
      <w:r>
        <w:fldChar w:fldCharType="end"/>
      </w:r>
      <w:r>
        <w:rPr>
          <w:rFonts w:hint="eastAsia" w:ascii="宋体" w:hAnsi="宋体" w:eastAsia="宋体" w:cs="宋体"/>
        </w:rPr>
        <w:fldChar w:fldCharType="end"/>
      </w:r>
    </w:p>
    <w:p w14:paraId="0D6446CB">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_Toc30794 </w:instrText>
      </w:r>
      <w:r>
        <w:rPr>
          <w:rFonts w:hint="eastAsia" w:ascii="宋体" w:hAnsi="宋体" w:eastAsia="宋体" w:cs="宋体"/>
        </w:rPr>
        <w:fldChar w:fldCharType="separate"/>
      </w:r>
      <w:r>
        <w:rPr>
          <w:rFonts w:hint="eastAsia" w:ascii="黑体" w:eastAsia="黑体"/>
          <w:i w:val="0"/>
          <w:lang w:val="en-US" w:eastAsia="zh-CN"/>
        </w:rPr>
        <w:t xml:space="preserve">7 </w:t>
      </w:r>
      <w:r>
        <w:rPr>
          <w:rFonts w:hint="default"/>
          <w:lang w:val="en-US" w:eastAsia="zh-CN"/>
        </w:rPr>
        <w:t>漏损诊断、预警与控制</w:t>
      </w:r>
      <w:r>
        <w:tab/>
      </w:r>
      <w:r>
        <w:fldChar w:fldCharType="begin"/>
      </w:r>
      <w:r>
        <w:instrText xml:space="preserve"> PAGEREF _Toc30794 \h </w:instrText>
      </w:r>
      <w:r>
        <w:fldChar w:fldCharType="separate"/>
      </w:r>
      <w:r>
        <w:t>7</w:t>
      </w:r>
      <w:r>
        <w:fldChar w:fldCharType="end"/>
      </w:r>
      <w:r>
        <w:rPr>
          <w:rFonts w:hint="eastAsia" w:ascii="宋体" w:hAnsi="宋体" w:eastAsia="宋体" w:cs="宋体"/>
        </w:rPr>
        <w:fldChar w:fldCharType="end"/>
      </w:r>
    </w:p>
    <w:p w14:paraId="0FAD7CC5">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_Toc1523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lang w:val="en-US" w:eastAsia="zh-CN"/>
        </w:rPr>
        <w:t>漏损诊断算法</w:t>
      </w:r>
      <w:r>
        <w:tab/>
      </w:r>
      <w:r>
        <w:fldChar w:fldCharType="begin"/>
      </w:r>
      <w:r>
        <w:instrText xml:space="preserve"> PAGEREF _Toc1523 \h </w:instrText>
      </w:r>
      <w:r>
        <w:fldChar w:fldCharType="separate"/>
      </w:r>
      <w:r>
        <w:t>7</w:t>
      </w:r>
      <w:r>
        <w:fldChar w:fldCharType="end"/>
      </w:r>
      <w:r>
        <w:rPr>
          <w:rFonts w:hint="eastAsia" w:ascii="宋体" w:hAnsi="宋体" w:eastAsia="宋体" w:cs="宋体"/>
        </w:rPr>
        <w:fldChar w:fldCharType="end"/>
      </w:r>
    </w:p>
    <w:p w14:paraId="5AEC07DC">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_Toc764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default"/>
          <w:lang w:val="en-US" w:eastAsia="zh-CN"/>
        </w:rPr>
        <w:t>预警阈值设定</w:t>
      </w:r>
      <w:r>
        <w:tab/>
      </w:r>
      <w:r>
        <w:fldChar w:fldCharType="begin"/>
      </w:r>
      <w:r>
        <w:instrText xml:space="preserve"> PAGEREF _Toc764 \h </w:instrText>
      </w:r>
      <w:r>
        <w:fldChar w:fldCharType="separate"/>
      </w:r>
      <w:r>
        <w:t>7</w:t>
      </w:r>
      <w:r>
        <w:fldChar w:fldCharType="end"/>
      </w:r>
      <w:r>
        <w:rPr>
          <w:rFonts w:hint="eastAsia" w:ascii="宋体" w:hAnsi="宋体" w:eastAsia="宋体" w:cs="宋体"/>
        </w:rPr>
        <w:fldChar w:fldCharType="end"/>
      </w:r>
    </w:p>
    <w:p w14:paraId="36FD1C6F">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_Toc31486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lang w:val="en-US" w:eastAsia="zh-CN"/>
        </w:rPr>
        <w:t>漏点定位方法</w:t>
      </w:r>
      <w:r>
        <w:tab/>
      </w:r>
      <w:r>
        <w:fldChar w:fldCharType="begin"/>
      </w:r>
      <w:r>
        <w:instrText xml:space="preserve"> PAGEREF _Toc31486 \h </w:instrText>
      </w:r>
      <w:r>
        <w:fldChar w:fldCharType="separate"/>
      </w:r>
      <w:r>
        <w:t>7</w:t>
      </w:r>
      <w:r>
        <w:fldChar w:fldCharType="end"/>
      </w:r>
      <w:r>
        <w:rPr>
          <w:rFonts w:hint="eastAsia" w:ascii="宋体" w:hAnsi="宋体" w:eastAsia="宋体" w:cs="宋体"/>
        </w:rPr>
        <w:fldChar w:fldCharType="end"/>
      </w:r>
    </w:p>
    <w:p w14:paraId="1FB666C7">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_Toc25109 </w:instrText>
      </w:r>
      <w:r>
        <w:rPr>
          <w:rFonts w:hint="eastAsia" w:ascii="宋体" w:hAnsi="宋体" w:eastAsia="宋体" w:cs="宋体"/>
        </w:rPr>
        <w:fldChar w:fldCharType="separate"/>
      </w:r>
      <w:r>
        <w:rPr>
          <w:rFonts w:hint="eastAsia" w:ascii="黑体" w:eastAsia="黑体"/>
          <w:i w:val="0"/>
          <w:lang w:val="en-US" w:eastAsia="zh-CN"/>
        </w:rPr>
        <w:t xml:space="preserve">8 </w:t>
      </w:r>
      <w:r>
        <w:rPr>
          <w:rFonts w:hint="default"/>
          <w:lang w:val="en-US" w:eastAsia="zh-CN"/>
        </w:rPr>
        <w:t>系统平台功能要求</w:t>
      </w:r>
      <w:r>
        <w:tab/>
      </w:r>
      <w:r>
        <w:fldChar w:fldCharType="begin"/>
      </w:r>
      <w:r>
        <w:instrText xml:space="preserve"> PAGEREF _Toc25109 \h </w:instrText>
      </w:r>
      <w:r>
        <w:fldChar w:fldCharType="separate"/>
      </w:r>
      <w:r>
        <w:t>7</w:t>
      </w:r>
      <w:r>
        <w:fldChar w:fldCharType="end"/>
      </w:r>
      <w:r>
        <w:rPr>
          <w:rFonts w:hint="eastAsia" w:ascii="宋体" w:hAnsi="宋体" w:eastAsia="宋体" w:cs="宋体"/>
        </w:rPr>
        <w:fldChar w:fldCharType="end"/>
      </w:r>
    </w:p>
    <w:p w14:paraId="13FA19BD">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_Toc10799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default"/>
          <w:lang w:val="en-US" w:eastAsia="zh-CN"/>
        </w:rPr>
        <w:t>数据可视化</w:t>
      </w:r>
      <w:r>
        <w:tab/>
      </w:r>
      <w:r>
        <w:fldChar w:fldCharType="begin"/>
      </w:r>
      <w:r>
        <w:instrText xml:space="preserve"> PAGEREF _Toc10799 \h </w:instrText>
      </w:r>
      <w:r>
        <w:fldChar w:fldCharType="separate"/>
      </w:r>
      <w:r>
        <w:t>7</w:t>
      </w:r>
      <w:r>
        <w:fldChar w:fldCharType="end"/>
      </w:r>
      <w:r>
        <w:rPr>
          <w:rFonts w:hint="eastAsia" w:ascii="宋体" w:hAnsi="宋体" w:eastAsia="宋体" w:cs="宋体"/>
        </w:rPr>
        <w:fldChar w:fldCharType="end"/>
      </w:r>
    </w:p>
    <w:p w14:paraId="27CE1989">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_Toc22962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default"/>
          <w:lang w:val="en-US" w:eastAsia="zh-CN"/>
        </w:rPr>
        <w:t>报警管理</w:t>
      </w:r>
      <w:r>
        <w:tab/>
      </w:r>
      <w:r>
        <w:fldChar w:fldCharType="begin"/>
      </w:r>
      <w:r>
        <w:instrText xml:space="preserve"> PAGEREF _Toc22962 \h </w:instrText>
      </w:r>
      <w:r>
        <w:fldChar w:fldCharType="separate"/>
      </w:r>
      <w:r>
        <w:t>7</w:t>
      </w:r>
      <w:r>
        <w:fldChar w:fldCharType="end"/>
      </w:r>
      <w:r>
        <w:rPr>
          <w:rFonts w:hint="eastAsia" w:ascii="宋体" w:hAnsi="宋体" w:eastAsia="宋体" w:cs="宋体"/>
        </w:rPr>
        <w:fldChar w:fldCharType="end"/>
      </w:r>
    </w:p>
    <w:p w14:paraId="56F4972A">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_Toc29666 </w:instrText>
      </w:r>
      <w:r>
        <w:rPr>
          <w:rFonts w:hint="eastAsia" w:ascii="宋体" w:hAnsi="宋体" w:eastAsia="宋体" w:cs="宋体"/>
        </w:rPr>
        <w:fldChar w:fldCharType="separate"/>
      </w:r>
      <w:r>
        <w:rPr>
          <w:rFonts w:hint="eastAsia" w:ascii="黑体" w:eastAsia="黑体"/>
          <w:i w:val="0"/>
          <w:lang w:val="en-US" w:eastAsia="zh-CN"/>
        </w:rPr>
        <w:t xml:space="preserve">9 </w:t>
      </w:r>
      <w:r>
        <w:rPr>
          <w:rFonts w:hint="default"/>
          <w:lang w:val="en-US" w:eastAsia="zh-CN"/>
        </w:rPr>
        <w:t>运行与维护</w:t>
      </w:r>
      <w:r>
        <w:tab/>
      </w:r>
      <w:r>
        <w:fldChar w:fldCharType="begin"/>
      </w:r>
      <w:r>
        <w:instrText xml:space="preserve"> PAGEREF _Toc29666 \h </w:instrText>
      </w:r>
      <w:r>
        <w:fldChar w:fldCharType="separate"/>
      </w:r>
      <w:r>
        <w:t>8</w:t>
      </w:r>
      <w:r>
        <w:fldChar w:fldCharType="end"/>
      </w:r>
      <w:r>
        <w:rPr>
          <w:rFonts w:hint="eastAsia" w:ascii="宋体" w:hAnsi="宋体" w:eastAsia="宋体" w:cs="宋体"/>
        </w:rPr>
        <w:fldChar w:fldCharType="end"/>
      </w:r>
    </w:p>
    <w:p w14:paraId="5A9232EA">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_Toc10904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lang w:val="en-US" w:eastAsia="zh-CN"/>
        </w:rPr>
        <w:t>日常运行监控</w:t>
      </w:r>
      <w:r>
        <w:tab/>
      </w:r>
      <w:r>
        <w:fldChar w:fldCharType="begin"/>
      </w:r>
      <w:r>
        <w:instrText xml:space="preserve"> PAGEREF _Toc10904 \h </w:instrText>
      </w:r>
      <w:r>
        <w:fldChar w:fldCharType="separate"/>
      </w:r>
      <w:r>
        <w:t>8</w:t>
      </w:r>
      <w:r>
        <w:fldChar w:fldCharType="end"/>
      </w:r>
      <w:r>
        <w:rPr>
          <w:rFonts w:hint="eastAsia" w:ascii="宋体" w:hAnsi="宋体" w:eastAsia="宋体" w:cs="宋体"/>
        </w:rPr>
        <w:fldChar w:fldCharType="end"/>
      </w:r>
    </w:p>
    <w:p w14:paraId="3252890D">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_Toc14422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lang w:val="en-US" w:eastAsia="zh-CN"/>
        </w:rPr>
        <w:t>定期维护保养</w:t>
      </w:r>
      <w:r>
        <w:tab/>
      </w:r>
      <w:r>
        <w:fldChar w:fldCharType="begin"/>
      </w:r>
      <w:r>
        <w:instrText xml:space="preserve"> PAGEREF _Toc14422 \h </w:instrText>
      </w:r>
      <w:r>
        <w:fldChar w:fldCharType="separate"/>
      </w:r>
      <w:r>
        <w:t>8</w:t>
      </w:r>
      <w:r>
        <w:fldChar w:fldCharType="end"/>
      </w:r>
      <w:r>
        <w:rPr>
          <w:rFonts w:hint="eastAsia" w:ascii="宋体" w:hAnsi="宋体" w:eastAsia="宋体" w:cs="宋体"/>
        </w:rPr>
        <w:fldChar w:fldCharType="end"/>
      </w:r>
    </w:p>
    <w:p w14:paraId="034B4C16">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7D679C7">
      <w:pPr>
        <w:pStyle w:val="93"/>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30659"/>
      <w:bookmarkStart w:id="3" w:name="BookMark2"/>
      <w:r>
        <w:rPr>
          <w:rFonts w:hint="eastAsia"/>
          <w:lang w:eastAsia="zh-CN"/>
        </w:rPr>
        <w:t>前</w:t>
      </w:r>
      <w:r>
        <w:t>言</w:t>
      </w:r>
      <w:bookmarkEnd w:id="1"/>
      <w:bookmarkEnd w:id="2"/>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本文件起草单位：阳谷城乡供水有限公司。</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48FD2902">
      <w:pPr>
        <w:spacing w:line="20" w:lineRule="exact"/>
        <w:jc w:val="center"/>
        <w:rPr>
          <w:rFonts w:ascii="黑体" w:hAnsi="黑体" w:eastAsia="黑体"/>
          <w:sz w:val="32"/>
          <w:szCs w:val="32"/>
        </w:rPr>
      </w:pPr>
      <w:bookmarkStart w:id="4" w:name="BookMark4"/>
    </w:p>
    <w:p w14:paraId="486FBE09">
      <w:pPr>
        <w:spacing w:line="20" w:lineRule="exact"/>
        <w:jc w:val="center"/>
        <w:rPr>
          <w:rFonts w:ascii="黑体" w:hAnsi="黑体" w:eastAsia="黑体"/>
          <w:sz w:val="32"/>
          <w:szCs w:val="32"/>
        </w:rPr>
      </w:pPr>
    </w:p>
    <w:p w14:paraId="5B152797">
      <w:pPr>
        <w:pStyle w:val="93"/>
        <w:spacing w:before="850" w:after="680" w:afterLines="0"/>
        <w:ind w:left="0" w:firstLine="0"/>
        <w:outlineLvl w:val="9"/>
      </w:pPr>
      <w:bookmarkStart w:id="5" w:name="_Toc26950"/>
      <w:bookmarkStart w:id="6" w:name="_Toc97192964"/>
      <w:bookmarkStart w:id="7" w:name="_Toc113284169"/>
      <w:bookmarkStart w:id="8" w:name="_Toc17233325"/>
      <w:bookmarkStart w:id="9" w:name="_Toc26648465"/>
      <w:bookmarkStart w:id="10" w:name="_Toc24884218"/>
      <w:bookmarkStart w:id="11" w:name="_Toc24884211"/>
      <w:bookmarkStart w:id="12" w:name="_Toc26718930"/>
      <w:bookmarkStart w:id="13" w:name="_Toc17233333"/>
      <w:bookmarkStart w:id="14" w:name="_Toc26986530"/>
      <w:bookmarkStart w:id="15" w:name="NEW_STAND_NAME"/>
      <w:bookmarkStart w:id="16" w:name="_Toc26986771"/>
      <w:r>
        <w:rPr>
          <w:rFonts w:hint="eastAsia"/>
          <w:lang w:eastAsia="zh-CN"/>
        </w:rPr>
        <w:t>城镇供水管网漏损智能监测与控制技术规范</w:t>
      </w:r>
      <w:bookmarkEnd w:id="5"/>
    </w:p>
    <w:bookmarkEnd w:id="6"/>
    <w:bookmarkEnd w:id="7"/>
    <w:bookmarkEnd w:id="8"/>
    <w:bookmarkEnd w:id="9"/>
    <w:bookmarkEnd w:id="10"/>
    <w:bookmarkEnd w:id="11"/>
    <w:bookmarkEnd w:id="12"/>
    <w:bookmarkEnd w:id="13"/>
    <w:bookmarkEnd w:id="14"/>
    <w:bookmarkEnd w:id="15"/>
    <w:bookmarkEnd w:id="16"/>
    <w:p w14:paraId="056DA4FB">
      <w:pPr>
        <w:pStyle w:val="108"/>
        <w:spacing w:before="240" w:after="240"/>
      </w:pPr>
      <w:bookmarkStart w:id="17" w:name="_Toc7073"/>
      <w:bookmarkStart w:id="18" w:name="_Toc23108"/>
      <w:bookmarkStart w:id="19" w:name="_Toc24419"/>
      <w:bookmarkStart w:id="20" w:name="_Toc113282590"/>
      <w:bookmarkStart w:id="21" w:name="_Toc2562"/>
      <w:r>
        <w:rPr>
          <w:rFonts w:hint="eastAsia"/>
        </w:rPr>
        <w:t>范围</w:t>
      </w:r>
      <w:bookmarkEnd w:id="17"/>
      <w:bookmarkEnd w:id="18"/>
      <w:bookmarkEnd w:id="19"/>
      <w:bookmarkEnd w:id="20"/>
      <w:bookmarkEnd w:id="21"/>
    </w:p>
    <w:p w14:paraId="5524B4B6">
      <w:pPr>
        <w:pStyle w:val="59"/>
        <w:ind w:firstLine="420"/>
        <w:rPr>
          <w:rFonts w:hint="eastAsia"/>
          <w:lang w:eastAsia="zh-CN"/>
        </w:rPr>
      </w:pPr>
      <w:bookmarkStart w:id="22" w:name="_Toc26648466"/>
      <w:bookmarkStart w:id="23" w:name="_Toc24884212"/>
      <w:bookmarkStart w:id="24" w:name="_Toc24884219"/>
      <w:bookmarkStart w:id="25" w:name="_Toc17233334"/>
      <w:bookmarkStart w:id="26" w:name="_Toc17233326"/>
      <w:r>
        <w:rPr>
          <w:rFonts w:hint="eastAsia"/>
          <w:lang w:eastAsia="zh-CN"/>
        </w:rPr>
        <w:t>本标准规定了城镇供水管网漏损智能监测与控制技术的系统架构、监测技术、数据管理、诊断预警、控制策略及系统平台的功能要求。</w:t>
      </w:r>
    </w:p>
    <w:p w14:paraId="65B3DA73">
      <w:pPr>
        <w:pStyle w:val="59"/>
        <w:ind w:firstLine="420"/>
        <w:rPr>
          <w:rFonts w:hint="eastAsia"/>
          <w:lang w:eastAsia="zh-CN"/>
        </w:rPr>
      </w:pPr>
      <w:r>
        <w:rPr>
          <w:rFonts w:hint="eastAsia"/>
          <w:lang w:eastAsia="zh-CN"/>
        </w:rPr>
        <w:t>本标准适用于城镇公共供水管网系统中，基于智能传感、数据通信和自动控制技术进行的漏损监测与控制系统的规划设计、建设验收、运行维护与管理。</w:t>
      </w:r>
    </w:p>
    <w:p w14:paraId="14BF4A9C">
      <w:pPr>
        <w:pStyle w:val="59"/>
        <w:ind w:firstLine="420"/>
        <w:rPr>
          <w:rFonts w:hint="eastAsia"/>
          <w:lang w:eastAsia="zh-CN"/>
        </w:rPr>
      </w:pPr>
      <w:r>
        <w:rPr>
          <w:rFonts w:hint="eastAsia"/>
          <w:lang w:eastAsia="zh-CN"/>
        </w:rPr>
        <w:t>本标准不适用于工业自备供水系统和农村分散式供水系统。</w:t>
      </w:r>
    </w:p>
    <w:p w14:paraId="136AE366">
      <w:pPr>
        <w:pStyle w:val="108"/>
        <w:spacing w:before="240" w:after="240"/>
      </w:pPr>
      <w:bookmarkStart w:id="27" w:name="_Toc26986531"/>
      <w:bookmarkStart w:id="28" w:name="_Toc26986772"/>
      <w:bookmarkStart w:id="29" w:name="_Toc1048"/>
      <w:bookmarkStart w:id="30" w:name="_Toc13917"/>
      <w:bookmarkStart w:id="31" w:name="_Toc19575"/>
      <w:bookmarkStart w:id="32" w:name="_Toc26718931"/>
      <w:bookmarkStart w:id="33" w:name="_Toc97192965"/>
      <w:bookmarkStart w:id="34" w:name="_Toc113282591"/>
      <w:bookmarkStart w:id="35" w:name="_Toc20531"/>
      <w:r>
        <w:rPr>
          <w:rFonts w:hint="eastAsia"/>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6" w:name="_Toc97192966"/>
      <w:bookmarkStart w:id="37" w:name="_Toc113282592"/>
    </w:p>
    <w:p w14:paraId="6878F7D2">
      <w:pPr>
        <w:autoSpaceDE w:val="0"/>
        <w:autoSpaceDN w:val="0"/>
        <w:spacing w:line="240" w:lineRule="auto"/>
        <w:ind w:firstLine="420" w:firstLineChars="200"/>
        <w:rPr>
          <w:rFonts w:hint="default" w:ascii="宋体" w:hAnsi="宋体" w:cs="宋体"/>
          <w:lang w:val="en-US" w:eastAsia="zh-CN"/>
        </w:rPr>
      </w:pPr>
      <w:r>
        <w:rPr>
          <w:rFonts w:hint="eastAsia" w:ascii="宋体" w:hAnsi="宋体" w:cs="宋体"/>
          <w:lang w:val="en-US" w:eastAsia="zh-CN"/>
        </w:rPr>
        <w:t>CJJ 92 城镇供水管网漏损控制及评定标准</w:t>
      </w:r>
    </w:p>
    <w:p w14:paraId="6E4A9259">
      <w:pPr>
        <w:pStyle w:val="108"/>
        <w:spacing w:before="240" w:after="240"/>
      </w:pPr>
      <w:bookmarkStart w:id="38" w:name="_Toc6287"/>
      <w:bookmarkStart w:id="39" w:name="_Toc2656"/>
      <w:bookmarkStart w:id="40" w:name="_Toc4140"/>
      <w:bookmarkStart w:id="41" w:name="_Toc11237"/>
      <w:r>
        <w:rPr>
          <w:rFonts w:hint="eastAsia"/>
          <w:szCs w:val="21"/>
        </w:rPr>
        <w:t>术语和定义</w:t>
      </w:r>
      <w:bookmarkEnd w:id="36"/>
      <w:bookmarkEnd w:id="37"/>
      <w:bookmarkEnd w:id="38"/>
      <w:bookmarkEnd w:id="39"/>
      <w:bookmarkEnd w:id="40"/>
      <w:bookmarkEnd w:id="41"/>
    </w:p>
    <w:p w14:paraId="48640116">
      <w:pPr>
        <w:pStyle w:val="59"/>
        <w:rPr>
          <w:rFonts w:hint="eastAsia"/>
          <w:lang w:val="en-US" w:eastAsia="zh-CN"/>
        </w:rPr>
      </w:pPr>
      <w:r>
        <w:rPr>
          <w:rFonts w:hint="eastAsia"/>
          <w:lang w:val="en-US" w:eastAsia="zh-CN"/>
        </w:rPr>
        <w:t>下列</w:t>
      </w:r>
      <w:r>
        <w:rPr>
          <w:rFonts w:hint="eastAsia"/>
        </w:rPr>
        <w:t>术语和定义适用于本文件</w:t>
      </w:r>
      <w:r>
        <w:rPr>
          <w:rFonts w:hint="eastAsia"/>
          <w:lang w:val="en-US" w:eastAsia="zh-CN"/>
        </w:rPr>
        <w:t>。</w:t>
      </w:r>
    </w:p>
    <w:p w14:paraId="6CB23555">
      <w:pPr>
        <w:pStyle w:val="109"/>
        <w:spacing w:before="120" w:after="120"/>
        <w:rPr>
          <w:rFonts w:hint="eastAsia" w:ascii="黑体" w:hAnsi="黑体" w:eastAsia="黑体" w:cs="黑体"/>
          <w:sz w:val="21"/>
          <w:lang w:val="en-US" w:eastAsia="zh-CN" w:bidi="ar-SA"/>
        </w:rPr>
      </w:pPr>
      <w:bookmarkStart w:id="42" w:name="_Toc13894"/>
      <w:bookmarkEnd w:id="42"/>
      <w:bookmarkStart w:id="43" w:name="_Toc18256"/>
      <w:bookmarkEnd w:id="43"/>
      <w:bookmarkStart w:id="44" w:name="_Toc30049"/>
      <w:bookmarkEnd w:id="44"/>
      <w:bookmarkStart w:id="45" w:name="_Toc22444"/>
      <w:bookmarkEnd w:id="45"/>
      <w:bookmarkStart w:id="46" w:name="_Toc7731"/>
      <w:bookmarkStart w:id="47" w:name="_Toc17642"/>
      <w:bookmarkStart w:id="48" w:name="_Toc19292"/>
      <w:bookmarkStart w:id="49" w:name="_Toc8279"/>
      <w:bookmarkStart w:id="50" w:name="_Toc22168"/>
      <w:bookmarkStart w:id="51" w:name="_Toc15123"/>
    </w:p>
    <w:bookmarkEnd w:id="46"/>
    <w:bookmarkEnd w:id="47"/>
    <w:bookmarkEnd w:id="48"/>
    <w:bookmarkEnd w:id="49"/>
    <w:bookmarkEnd w:id="50"/>
    <w:bookmarkEnd w:id="51"/>
    <w:p w14:paraId="1AE908C6">
      <w:pPr>
        <w:pStyle w:val="69"/>
        <w:rPr>
          <w:rFonts w:hint="eastAsia" w:ascii="黑体" w:hAnsi="黑体" w:eastAsia="黑体" w:cs="黑体"/>
          <w:lang w:val="en-US" w:eastAsia="zh-CN"/>
        </w:rPr>
      </w:pPr>
      <w:r>
        <w:rPr>
          <w:rFonts w:hint="eastAsia" w:ascii="黑体" w:hAnsi="黑体" w:eastAsia="黑体" w:cs="黑体"/>
          <w:lang w:val="en-US" w:eastAsia="zh-CN"/>
        </w:rPr>
        <w:t>城镇供水管网 urban water supply pipe network</w:t>
      </w:r>
    </w:p>
    <w:p w14:paraId="7C4E45E2">
      <w:pPr>
        <w:pStyle w:val="69"/>
        <w:rPr>
          <w:rFonts w:hint="eastAsia" w:ascii="宋体" w:hAnsi="宋体" w:eastAsia="宋体" w:cs="宋体"/>
          <w:lang w:val="en-US" w:eastAsia="zh-CN"/>
        </w:rPr>
      </w:pPr>
      <w:r>
        <w:rPr>
          <w:rFonts w:hint="eastAsia" w:ascii="宋体" w:hAnsi="宋体" w:eastAsia="宋体" w:cs="宋体"/>
          <w:lang w:val="en-US" w:eastAsia="zh-CN"/>
        </w:rPr>
        <w:t>连接城镇水源、水厂与各类用户，用于输送和分配城镇公共用水的管道及其附属设施的统称，包含输水干管、配水管网、加压泵站、阀门、消火栓等，是城镇供水系统的关键组成部分 。</w:t>
      </w:r>
    </w:p>
    <w:p w14:paraId="6722E4FC">
      <w:pPr>
        <w:pStyle w:val="109"/>
        <w:bidi w:val="0"/>
        <w:rPr>
          <w:rFonts w:hint="eastAsia"/>
        </w:rPr>
      </w:pPr>
      <w:bookmarkStart w:id="52" w:name="_Toc31411"/>
      <w:bookmarkEnd w:id="52"/>
    </w:p>
    <w:p w14:paraId="6CF3524B">
      <w:pPr>
        <w:pStyle w:val="69"/>
        <w:rPr>
          <w:rFonts w:hint="eastAsia" w:ascii="黑体" w:hAnsi="黑体" w:eastAsia="黑体" w:cs="黑体"/>
          <w:lang w:val="en-US" w:eastAsia="zh-CN"/>
        </w:rPr>
      </w:pPr>
      <w:r>
        <w:rPr>
          <w:rFonts w:hint="eastAsia" w:ascii="黑体" w:hAnsi="黑体" w:eastAsia="黑体" w:cs="黑体"/>
          <w:lang w:val="en-US" w:eastAsia="zh-CN"/>
        </w:rPr>
        <w:t>漏损 leakage</w:t>
      </w:r>
    </w:p>
    <w:p w14:paraId="20235FB9">
      <w:pPr>
        <w:pStyle w:val="69"/>
        <w:rPr>
          <w:rFonts w:hint="eastAsia" w:ascii="宋体" w:hAnsi="宋体" w:eastAsia="宋体" w:cs="宋体"/>
          <w:lang w:val="en-US" w:eastAsia="zh-CN"/>
        </w:rPr>
      </w:pPr>
      <w:r>
        <w:rPr>
          <w:rFonts w:hint="eastAsia" w:ascii="宋体" w:hAnsi="宋体" w:eastAsia="宋体" w:cs="宋体"/>
          <w:lang w:val="en-US" w:eastAsia="zh-CN"/>
        </w:rPr>
        <w:t>在城镇供水管网系统运行过程中，由于管道破损、接口不严、阀门故障、计量误差以及非法用水等原因，导致的供水总量与用户实际用水量之间的差值。</w:t>
      </w:r>
    </w:p>
    <w:p w14:paraId="7B4AFE68">
      <w:pPr>
        <w:pStyle w:val="109"/>
        <w:bidi w:val="0"/>
        <w:rPr>
          <w:rFonts w:hint="eastAsia" w:ascii="黑体" w:hAnsi="黑体" w:eastAsia="黑体" w:cs="黑体"/>
          <w:lang w:val="en-US" w:eastAsia="zh-CN"/>
        </w:rPr>
      </w:pPr>
      <w:bookmarkStart w:id="53" w:name="_Toc13753"/>
      <w:bookmarkEnd w:id="53"/>
    </w:p>
    <w:p w14:paraId="6487E98F">
      <w:pPr>
        <w:pStyle w:val="69"/>
        <w:rPr>
          <w:rFonts w:hint="eastAsia" w:ascii="黑体" w:hAnsi="黑体" w:eastAsia="黑体" w:cs="黑体"/>
          <w:lang w:val="en-US" w:eastAsia="zh-CN"/>
        </w:rPr>
      </w:pPr>
      <w:r>
        <w:rPr>
          <w:rFonts w:hint="eastAsia" w:ascii="黑体" w:hAnsi="黑体" w:eastAsia="黑体" w:cs="黑体"/>
          <w:lang w:val="en-US" w:eastAsia="zh-CN"/>
        </w:rPr>
        <w:t>智能传感 intelligent sensing</w:t>
      </w:r>
    </w:p>
    <w:p w14:paraId="39B5008A">
      <w:pPr>
        <w:pStyle w:val="69"/>
        <w:rPr>
          <w:rFonts w:hint="eastAsia"/>
          <w:lang w:val="en-US" w:eastAsia="zh-CN"/>
        </w:rPr>
      </w:pPr>
      <w:r>
        <w:rPr>
          <w:rFonts w:hint="eastAsia"/>
          <w:lang w:val="en-US" w:eastAsia="zh-CN"/>
        </w:rPr>
        <w:t>利用先进的传感器技术对供水管网运行状态参数进行实时、精准感知与采集，并将物理量转换为可传输、处理的电信号或数字信号的过程。</w:t>
      </w:r>
    </w:p>
    <w:p w14:paraId="4AFBD3F2">
      <w:pPr>
        <w:pStyle w:val="109"/>
        <w:bidi w:val="0"/>
        <w:rPr>
          <w:rFonts w:hint="eastAsia" w:ascii="黑体" w:hAnsi="黑体" w:eastAsia="黑体" w:cs="黑体"/>
          <w:lang w:val="en-US" w:eastAsia="zh-CN"/>
        </w:rPr>
      </w:pPr>
      <w:bookmarkStart w:id="54" w:name="_Toc4803"/>
      <w:bookmarkEnd w:id="54"/>
    </w:p>
    <w:p w14:paraId="6B40B3DB">
      <w:pPr>
        <w:pStyle w:val="69"/>
        <w:rPr>
          <w:rFonts w:hint="eastAsia" w:ascii="黑体" w:hAnsi="黑体" w:eastAsia="黑体" w:cs="黑体"/>
          <w:lang w:val="en-US" w:eastAsia="zh-CN"/>
        </w:rPr>
      </w:pPr>
      <w:r>
        <w:rPr>
          <w:rFonts w:hint="eastAsia" w:ascii="黑体" w:hAnsi="黑体" w:eastAsia="黑体" w:cs="黑体"/>
          <w:lang w:val="en-US" w:eastAsia="zh-CN"/>
        </w:rPr>
        <w:t>数据通信 data communication</w:t>
      </w:r>
    </w:p>
    <w:p w14:paraId="44832896">
      <w:pPr>
        <w:pStyle w:val="69"/>
        <w:rPr>
          <w:rFonts w:hint="eastAsia"/>
          <w:lang w:val="en-US" w:eastAsia="zh-CN"/>
        </w:rPr>
      </w:pPr>
      <w:r>
        <w:rPr>
          <w:rFonts w:hint="eastAsia"/>
          <w:lang w:val="en-US" w:eastAsia="zh-CN"/>
        </w:rPr>
        <w:t>在供水管网漏损智能监测与控制系统中，实现监测设备与数据管理中心、各监测设备之间的数据传输与交换的技术手段，包括有线通信和无线通信。</w:t>
      </w:r>
    </w:p>
    <w:p w14:paraId="47AF788D">
      <w:pPr>
        <w:pStyle w:val="109"/>
        <w:bidi w:val="0"/>
        <w:rPr>
          <w:rFonts w:hint="eastAsia"/>
          <w:lang w:val="en-US" w:eastAsia="zh-CN"/>
        </w:rPr>
      </w:pPr>
      <w:bookmarkStart w:id="55" w:name="_Toc8704"/>
      <w:bookmarkEnd w:id="55"/>
    </w:p>
    <w:p w14:paraId="26F6712A">
      <w:pPr>
        <w:pStyle w:val="69"/>
        <w:rPr>
          <w:rFonts w:hint="eastAsia" w:ascii="黑体" w:hAnsi="黑体" w:eastAsia="黑体" w:cs="黑体"/>
          <w:lang w:val="en-US" w:eastAsia="zh-CN"/>
        </w:rPr>
      </w:pPr>
      <w:r>
        <w:rPr>
          <w:rFonts w:hint="eastAsia" w:ascii="黑体" w:hAnsi="黑体" w:eastAsia="黑体" w:cs="黑体"/>
          <w:lang w:val="en-US" w:eastAsia="zh-CN"/>
        </w:rPr>
        <w:t>自动控制 automatic control</w:t>
      </w:r>
    </w:p>
    <w:p w14:paraId="3A5BDE06">
      <w:pPr>
        <w:pStyle w:val="69"/>
        <w:rPr>
          <w:rFonts w:hint="eastAsia"/>
          <w:lang w:val="en-US" w:eastAsia="zh-CN"/>
        </w:rPr>
      </w:pPr>
      <w:r>
        <w:rPr>
          <w:rFonts w:hint="eastAsia"/>
          <w:lang w:val="en-US" w:eastAsia="zh-CN"/>
        </w:rPr>
        <w:t>借助自动化装置和控制系统，根据预设的控制策略和算法，对供水管网中的设备（如水泵、阀门等）进行自动操作与调节，以实现管网压力稳定、流量均衡、漏损控制等目标的过程。</w:t>
      </w:r>
    </w:p>
    <w:p w14:paraId="38A45855">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56" w:name="_Toc20266"/>
      <w:bookmarkEnd w:id="56"/>
    </w:p>
    <w:p w14:paraId="6C5F443C">
      <w:pPr>
        <w:pStyle w:val="69"/>
        <w:rPr>
          <w:rFonts w:hint="eastAsia" w:ascii="黑体" w:hAnsi="黑体" w:eastAsia="黑体" w:cs="黑体"/>
          <w:lang w:val="en-US" w:eastAsia="zh-CN"/>
        </w:rPr>
      </w:pPr>
      <w:r>
        <w:rPr>
          <w:rFonts w:hint="eastAsia" w:ascii="黑体" w:hAnsi="黑体" w:eastAsia="黑体" w:cs="黑体"/>
          <w:lang w:val="en-US" w:eastAsia="zh-CN"/>
        </w:rPr>
        <w:t>漏损监测 leakage monitoring</w:t>
      </w:r>
    </w:p>
    <w:p w14:paraId="5A263116">
      <w:pPr>
        <w:pStyle w:val="69"/>
        <w:rPr>
          <w:rFonts w:hint="eastAsia"/>
          <w:lang w:val="en-US" w:eastAsia="zh-CN"/>
        </w:rPr>
      </w:pPr>
      <w:r>
        <w:rPr>
          <w:rFonts w:hint="default"/>
          <w:lang w:val="en-US" w:eastAsia="zh-CN"/>
        </w:rPr>
        <w:t>通过部署在管网中的各类监测设备，运用声学、压力、流量等监测技术，对供水管网的漏损情况进行实时监测，及时发现漏损事件，并获取漏损相关信息（如漏损位置、漏损量等）的过程</w:t>
      </w:r>
      <w:r>
        <w:rPr>
          <w:rFonts w:hint="eastAsia"/>
          <w:lang w:val="en-US" w:eastAsia="zh-CN"/>
        </w:rPr>
        <w:t>。</w:t>
      </w:r>
    </w:p>
    <w:p w14:paraId="1C82A7D9">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57" w:name="_Toc3389"/>
      <w:bookmarkEnd w:id="57"/>
    </w:p>
    <w:p w14:paraId="2CCB5857">
      <w:pPr>
        <w:pStyle w:val="69"/>
        <w:rPr>
          <w:rFonts w:hint="eastAsia" w:ascii="黑体" w:hAnsi="黑体" w:eastAsia="黑体" w:cs="黑体"/>
          <w:lang w:val="en-US" w:eastAsia="zh-CN"/>
        </w:rPr>
      </w:pPr>
      <w:r>
        <w:rPr>
          <w:rFonts w:hint="eastAsia" w:ascii="黑体" w:hAnsi="黑体" w:eastAsia="黑体" w:cs="黑体"/>
          <w:lang w:val="en-US" w:eastAsia="zh-CN"/>
        </w:rPr>
        <w:t>漏损控制 leakage control</w:t>
      </w:r>
    </w:p>
    <w:p w14:paraId="18FA02D8">
      <w:pPr>
        <w:pStyle w:val="59"/>
        <w:rPr>
          <w:rFonts w:hint="eastAsia" w:ascii="宋体" w:hAnsi="宋体" w:eastAsia="宋体" w:cs="宋体"/>
          <w:lang w:val="en-US" w:eastAsia="zh-CN"/>
        </w:rPr>
      </w:pPr>
      <w:r>
        <w:rPr>
          <w:rFonts w:hint="default"/>
          <w:lang w:val="en-US" w:eastAsia="zh-CN"/>
        </w:rPr>
        <w:t>采取一系列技术、管理和工程措施，包括漏损监测、定位、预警、修复以及压力调控、管网优化等，以减少漏失水量，提高供水效率，实现水资源合理利用和供水系统可持续运行的过程</w:t>
      </w:r>
      <w:r>
        <w:rPr>
          <w:rFonts w:hint="eastAsia"/>
          <w:lang w:val="en-US" w:eastAsia="zh-CN"/>
        </w:rPr>
        <w:t>。</w:t>
      </w:r>
    </w:p>
    <w:p w14:paraId="104B927F">
      <w:pPr>
        <w:pStyle w:val="108"/>
        <w:spacing w:before="326" w:after="326"/>
        <w:rPr>
          <w:rFonts w:hint="eastAsia"/>
        </w:rPr>
      </w:pPr>
      <w:bookmarkStart w:id="58" w:name="_Toc16320"/>
      <w:bookmarkStart w:id="59" w:name="_Toc25860"/>
      <w:bookmarkStart w:id="60" w:name="_Toc15135"/>
      <w:bookmarkStart w:id="61" w:name="_Toc7323"/>
      <w:bookmarkStart w:id="62" w:name="_Toc32045"/>
      <w:bookmarkStart w:id="63" w:name="_Toc19233"/>
      <w:bookmarkStart w:id="64" w:name="_Toc20326"/>
      <w:r>
        <w:rPr>
          <w:rFonts w:hint="eastAsia"/>
          <w:lang w:val="en-US" w:eastAsia="zh-CN"/>
        </w:rPr>
        <w:t>总体要求</w:t>
      </w:r>
      <w:bookmarkEnd w:id="58"/>
    </w:p>
    <w:p w14:paraId="67CF5334">
      <w:pPr>
        <w:pStyle w:val="109"/>
        <w:bidi w:val="0"/>
        <w:rPr>
          <w:rFonts w:hint="eastAsia"/>
          <w:lang w:val="en-US" w:eastAsia="zh-CN"/>
        </w:rPr>
      </w:pPr>
      <w:bookmarkStart w:id="65" w:name="_Toc27054"/>
      <w:r>
        <w:rPr>
          <w:rFonts w:hint="eastAsia"/>
          <w:lang w:val="en-US" w:eastAsia="zh-CN"/>
        </w:rPr>
        <w:t>基本原则</w:t>
      </w:r>
      <w:bookmarkEnd w:id="65"/>
    </w:p>
    <w:p w14:paraId="472EE4D9">
      <w:pPr>
        <w:pStyle w:val="169"/>
        <w:bidi w:val="0"/>
        <w:rPr>
          <w:rFonts w:hint="default"/>
          <w:lang w:val="en-US" w:eastAsia="zh-CN"/>
        </w:rPr>
      </w:pPr>
      <w:r>
        <w:rPr>
          <w:rFonts w:hint="eastAsia"/>
          <w:lang w:val="en-US" w:eastAsia="zh-CN"/>
        </w:rPr>
        <w:t>可靠性。</w:t>
      </w:r>
      <w:r>
        <w:rPr>
          <w:rFonts w:hint="default"/>
          <w:lang w:val="en-US" w:eastAsia="zh-CN"/>
        </w:rPr>
        <w:t>选用可靠的监测设备、通信技术和系统架构，确保系统在各种复杂环境下能够稳定运行，数据采集准确无误，传输及时可靠，减少因设备故障、通信中断等导致的数据丢失或系统瘫痪情况的发生，保证漏损监测与控制工作的连续性和稳定性。</w:t>
      </w:r>
    </w:p>
    <w:p w14:paraId="52CD13EE">
      <w:pPr>
        <w:pStyle w:val="169"/>
        <w:bidi w:val="0"/>
        <w:rPr>
          <w:rFonts w:hint="default"/>
          <w:lang w:val="en-US" w:eastAsia="zh-CN"/>
        </w:rPr>
      </w:pPr>
      <w:r>
        <w:rPr>
          <w:rFonts w:hint="eastAsia"/>
          <w:lang w:val="en-US" w:eastAsia="zh-CN"/>
        </w:rPr>
        <w:t>先进性。</w:t>
      </w:r>
      <w:r>
        <w:rPr>
          <w:rFonts w:hint="default"/>
          <w:lang w:val="en-US" w:eastAsia="zh-CN"/>
        </w:rPr>
        <w:t>积极引入先进的智能传感、数据通信、自动控制和数据分析技术，提升系统的监测精度、预警能力和控制效率，使系统具备前瞻性，适应未来城镇供水管网发展的需求</w:t>
      </w:r>
      <w:r>
        <w:rPr>
          <w:rFonts w:hint="eastAsia"/>
          <w:lang w:val="en-US" w:eastAsia="zh-CN"/>
        </w:rPr>
        <w:t>。</w:t>
      </w:r>
    </w:p>
    <w:p w14:paraId="660E6D74">
      <w:pPr>
        <w:pStyle w:val="169"/>
        <w:bidi w:val="0"/>
        <w:rPr>
          <w:rFonts w:hint="default"/>
          <w:lang w:val="en-US" w:eastAsia="zh-CN"/>
        </w:rPr>
      </w:pPr>
      <w:r>
        <w:rPr>
          <w:rFonts w:hint="eastAsia"/>
          <w:lang w:val="en-US" w:eastAsia="zh-CN"/>
        </w:rPr>
        <w:t>可扩展性。系统架构应具备良好的可扩展性，能够方便地接入新的监测设备、拓展监测范围、升级系统功能，以满足城镇供水管网规模扩大、布局变化以及技术发展的需要。</w:t>
      </w:r>
    </w:p>
    <w:p w14:paraId="7086BEAB">
      <w:pPr>
        <w:pStyle w:val="169"/>
        <w:bidi w:val="0"/>
        <w:rPr>
          <w:rFonts w:hint="default"/>
          <w:lang w:val="en-US" w:eastAsia="zh-CN"/>
        </w:rPr>
      </w:pPr>
      <w:r>
        <w:rPr>
          <w:rFonts w:hint="eastAsia"/>
          <w:lang w:val="en-US" w:eastAsia="zh-CN"/>
        </w:rPr>
        <w:t>经济性。在满足系统功能和性能要求的前提下，充分考虑建设成本和运行维护成本，合理选择设备和技术方案，提高资源利用效率，实现经济效益最大化。</w:t>
      </w:r>
    </w:p>
    <w:p w14:paraId="5BF46E33">
      <w:pPr>
        <w:pStyle w:val="169"/>
        <w:bidi w:val="0"/>
        <w:rPr>
          <w:rFonts w:hint="default"/>
          <w:lang w:val="en-US" w:eastAsia="zh-CN"/>
        </w:rPr>
      </w:pPr>
      <w:r>
        <w:rPr>
          <w:rFonts w:hint="eastAsia"/>
          <w:lang w:val="en-US" w:eastAsia="zh-CN"/>
        </w:rPr>
        <w:t>安全性。高度重视系统的数据安全和网络安全，采取有效的安全防护措施，防止数据泄露、篡改和非法访问，保障城镇供水管网的安全运行。</w:t>
      </w:r>
    </w:p>
    <w:p w14:paraId="08A32567">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66" w:name="_Toc20596"/>
      <w:r>
        <w:rPr>
          <w:rFonts w:hint="eastAsia"/>
          <w:lang w:val="en-US" w:eastAsia="zh-CN"/>
        </w:rPr>
        <w:t>体系架构</w:t>
      </w:r>
      <w:bookmarkEnd w:id="66"/>
    </w:p>
    <w:p w14:paraId="1284B2F5">
      <w:pPr>
        <w:pStyle w:val="69"/>
        <w:rPr>
          <w:rFonts w:hint="default"/>
          <w:lang w:val="en-US" w:eastAsia="zh-CN"/>
        </w:rPr>
      </w:pPr>
      <w:r>
        <w:rPr>
          <w:rFonts w:hint="default"/>
          <w:lang w:val="en-US" w:eastAsia="zh-CN"/>
        </w:rPr>
        <w:t>城镇供水管网漏损智能监测与控制系统应采用分层分布式架构，主要包括监测层、传输层、数据层和应用层 ，各层之间相互协作，实现系统的整体功能。</w:t>
      </w:r>
    </w:p>
    <w:p w14:paraId="1E6D717D">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67" w:name="_Toc13220"/>
      <w:r>
        <w:rPr>
          <w:rFonts w:hint="eastAsia"/>
          <w:lang w:val="en-US" w:eastAsia="zh-CN"/>
        </w:rPr>
        <w:t>数据精度要求</w:t>
      </w:r>
      <w:bookmarkEnd w:id="67"/>
    </w:p>
    <w:p w14:paraId="3AAE68EA">
      <w:pPr>
        <w:pStyle w:val="169"/>
        <w:bidi w:val="0"/>
        <w:rPr>
          <w:rFonts w:hint="default"/>
          <w:lang w:val="en-US" w:eastAsia="zh-CN"/>
        </w:rPr>
      </w:pPr>
      <w:r>
        <w:rPr>
          <w:rFonts w:hint="eastAsia"/>
          <w:lang w:val="en-US" w:eastAsia="zh-CN"/>
        </w:rPr>
        <w:t>压力传感器的测量精度应不低于±0.01MPa。</w:t>
      </w:r>
    </w:p>
    <w:p w14:paraId="5E8B3842">
      <w:pPr>
        <w:pStyle w:val="169"/>
        <w:bidi w:val="0"/>
        <w:rPr>
          <w:rFonts w:hint="default"/>
          <w:lang w:val="en-US" w:eastAsia="zh-CN"/>
        </w:rPr>
      </w:pPr>
      <w:r>
        <w:rPr>
          <w:rFonts w:hint="default"/>
          <w:lang w:val="en-US" w:eastAsia="zh-CN"/>
        </w:rPr>
        <w:t>流量计的精度等级应不低于1.0 级，对于大口径管道，可选用精度更高的流量计</w:t>
      </w:r>
      <w:r>
        <w:rPr>
          <w:rFonts w:hint="eastAsia"/>
          <w:lang w:val="en-US" w:eastAsia="zh-CN"/>
        </w:rPr>
        <w:t>。</w:t>
      </w:r>
    </w:p>
    <w:p w14:paraId="18717BBD">
      <w:pPr>
        <w:pStyle w:val="169"/>
        <w:bidi w:val="0"/>
        <w:rPr>
          <w:rFonts w:hint="default"/>
          <w:lang w:val="en-US" w:eastAsia="zh-CN"/>
        </w:rPr>
      </w:pPr>
      <w:r>
        <w:rPr>
          <w:rFonts w:hint="default"/>
          <w:lang w:val="en-US" w:eastAsia="zh-CN"/>
        </w:rPr>
        <w:t>噪声传感器应能够准确捕捉漏损产生的噪声信号，频率响应范围应满足漏损噪声监测的要求，一般为100Hz-2kHz</w:t>
      </w:r>
      <w:r>
        <w:rPr>
          <w:rFonts w:hint="eastAsia"/>
          <w:lang w:val="en-US" w:eastAsia="zh-CN"/>
        </w:rPr>
        <w:t>。</w:t>
      </w:r>
    </w:p>
    <w:p w14:paraId="496E8C67">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68" w:name="_Toc13312"/>
      <w:r>
        <w:rPr>
          <w:rFonts w:hint="eastAsia"/>
          <w:lang w:val="en-US" w:eastAsia="zh-CN"/>
        </w:rPr>
        <w:t>系统安全要求</w:t>
      </w:r>
      <w:bookmarkEnd w:id="68"/>
    </w:p>
    <w:p w14:paraId="1B74290F">
      <w:pPr>
        <w:pStyle w:val="169"/>
        <w:bidi w:val="0"/>
        <w:rPr>
          <w:rFonts w:hint="default"/>
          <w:lang w:val="en-US" w:eastAsia="zh-CN"/>
        </w:rPr>
      </w:pPr>
      <w:r>
        <w:rPr>
          <w:rFonts w:hint="default"/>
          <w:lang w:val="en-US" w:eastAsia="zh-CN"/>
        </w:rPr>
        <w:t>采用数据加密技术，对传输和存储的数据进行加密处理，防止数据在传输过程中被窃取、篡改，以及在存储时被非法访问。</w:t>
      </w:r>
    </w:p>
    <w:p w14:paraId="51102E6A">
      <w:pPr>
        <w:pStyle w:val="169"/>
        <w:bidi w:val="0"/>
        <w:rPr>
          <w:rFonts w:hint="default"/>
          <w:lang w:val="en-US" w:eastAsia="zh-CN"/>
        </w:rPr>
      </w:pPr>
      <w:r>
        <w:rPr>
          <w:rFonts w:hint="eastAsia"/>
          <w:lang w:val="en-US" w:eastAsia="zh-CN"/>
        </w:rPr>
        <w:t>应</w:t>
      </w:r>
      <w:r>
        <w:rPr>
          <w:rFonts w:hint="default"/>
          <w:lang w:val="en-US" w:eastAsia="zh-CN"/>
        </w:rPr>
        <w:t>建立数据备份和恢复机制，定期对数据进行备份，并存储在安全的位置，备份频率可根据数据的重要性和更新频率确定</w:t>
      </w:r>
      <w:r>
        <w:rPr>
          <w:rFonts w:hint="eastAsia"/>
          <w:lang w:val="en-US" w:eastAsia="zh-CN"/>
        </w:rPr>
        <w:t>。</w:t>
      </w:r>
    </w:p>
    <w:p w14:paraId="4E13F765">
      <w:pPr>
        <w:pStyle w:val="169"/>
        <w:bidi w:val="0"/>
        <w:rPr>
          <w:rFonts w:hint="default"/>
          <w:lang w:val="en-US" w:eastAsia="zh-CN"/>
        </w:rPr>
      </w:pPr>
      <w:r>
        <w:rPr>
          <w:rFonts w:hint="eastAsia"/>
          <w:lang w:val="en-US" w:eastAsia="zh-CN"/>
        </w:rPr>
        <w:t>应</w:t>
      </w:r>
      <w:r>
        <w:rPr>
          <w:rFonts w:hint="default"/>
          <w:lang w:val="en-US" w:eastAsia="zh-CN"/>
        </w:rPr>
        <w:t>部署防火墙、入侵检测系统（IDS）、入侵防御系统（IPS）等网络安全设备，对系统网络进行实时监控和防护。</w:t>
      </w:r>
    </w:p>
    <w:p w14:paraId="11EC9A84">
      <w:pPr>
        <w:pStyle w:val="169"/>
        <w:bidi w:val="0"/>
        <w:rPr>
          <w:rFonts w:hint="default"/>
          <w:lang w:val="en-US" w:eastAsia="zh-CN"/>
        </w:rPr>
      </w:pPr>
      <w:r>
        <w:rPr>
          <w:rFonts w:hint="eastAsia"/>
          <w:lang w:val="en-US" w:eastAsia="zh-CN"/>
        </w:rPr>
        <w:t>应</w:t>
      </w:r>
      <w:r>
        <w:rPr>
          <w:rFonts w:hint="default"/>
          <w:lang w:val="en-US" w:eastAsia="zh-CN"/>
        </w:rPr>
        <w:t>设置严格的用户权限管理机制，对不同用户分配不同的操作权限，只有经过授权的用户才能访问和操作相应的功能和数据。</w:t>
      </w:r>
    </w:p>
    <w:p w14:paraId="1E91D50A">
      <w:pPr>
        <w:pStyle w:val="169"/>
        <w:bidi w:val="0"/>
        <w:rPr>
          <w:rFonts w:hint="default"/>
          <w:lang w:val="en-US" w:eastAsia="zh-CN"/>
        </w:rPr>
      </w:pPr>
      <w:r>
        <w:rPr>
          <w:rFonts w:hint="eastAsia"/>
          <w:lang w:val="en-US" w:eastAsia="zh-CN"/>
        </w:rPr>
        <w:t>应</w:t>
      </w:r>
      <w:r>
        <w:rPr>
          <w:rFonts w:hint="default"/>
          <w:lang w:val="en-US" w:eastAsia="zh-CN"/>
        </w:rPr>
        <w:t>定期对系统进行安全漏洞扫描和修复，及时更新系统的安全补丁，防范已知的安全风险</w:t>
      </w:r>
      <w:r>
        <w:rPr>
          <w:rFonts w:hint="eastAsia"/>
          <w:lang w:val="en-US" w:eastAsia="zh-CN"/>
        </w:rPr>
        <w:t>，</w:t>
      </w:r>
      <w:r>
        <w:rPr>
          <w:rFonts w:hint="default"/>
          <w:lang w:val="en-US" w:eastAsia="zh-CN"/>
        </w:rPr>
        <w:t>安全漏洞扫描可每月进行一次</w:t>
      </w:r>
      <w:r>
        <w:rPr>
          <w:rFonts w:hint="eastAsia"/>
          <w:lang w:val="en-US" w:eastAsia="zh-CN"/>
        </w:rPr>
        <w:t>。</w:t>
      </w:r>
    </w:p>
    <w:p w14:paraId="0F4E548C">
      <w:pPr>
        <w:pStyle w:val="108"/>
        <w:bidi w:val="0"/>
        <w:rPr>
          <w:rFonts w:hint="default"/>
          <w:lang w:val="en-US" w:eastAsia="zh-CN"/>
        </w:rPr>
      </w:pPr>
      <w:bookmarkStart w:id="69" w:name="_Toc9175"/>
      <w:r>
        <w:rPr>
          <w:rFonts w:hint="default"/>
          <w:lang w:val="en-US" w:eastAsia="zh-CN"/>
        </w:rPr>
        <w:t>监测技术与布设</w:t>
      </w:r>
      <w:bookmarkEnd w:id="69"/>
    </w:p>
    <w:p w14:paraId="33E50F20">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0" w:name="_Toc30078"/>
      <w:r>
        <w:rPr>
          <w:rFonts w:hint="eastAsia"/>
          <w:lang w:val="en-US" w:eastAsia="zh-CN"/>
        </w:rPr>
        <w:t>流量监测设备</w:t>
      </w:r>
      <w:bookmarkEnd w:id="70"/>
    </w:p>
    <w:p w14:paraId="62E69E66">
      <w:pPr>
        <w:pStyle w:val="169"/>
        <w:bidi w:val="0"/>
        <w:rPr>
          <w:rFonts w:hint="default"/>
          <w:lang w:val="en-US" w:eastAsia="zh-CN"/>
        </w:rPr>
      </w:pPr>
      <w:r>
        <w:rPr>
          <w:rFonts w:hint="default"/>
          <w:lang w:val="en-US" w:eastAsia="zh-CN"/>
        </w:rPr>
        <w:t>应根据管网的管径大小、流量范围、流体特性（如是否含有杂质、腐蚀性等）以及安装条件等因素选择合适的流量监测设备。</w:t>
      </w:r>
    </w:p>
    <w:p w14:paraId="59943EB4">
      <w:pPr>
        <w:pStyle w:val="169"/>
        <w:bidi w:val="0"/>
        <w:rPr>
          <w:rFonts w:hint="default"/>
          <w:lang w:val="en-US" w:eastAsia="zh-CN"/>
        </w:rPr>
      </w:pPr>
      <w:r>
        <w:rPr>
          <w:rFonts w:hint="default"/>
          <w:lang w:val="en-US" w:eastAsia="zh-CN"/>
        </w:rPr>
        <w:t>流量计的精度等级应不低于1.0 级，重复性误差应不大于±0.5% ，响应时间应不超过1s</w:t>
      </w:r>
      <w:r>
        <w:rPr>
          <w:rFonts w:hint="eastAsia"/>
          <w:lang w:val="en-US" w:eastAsia="zh-CN"/>
        </w:rPr>
        <w:t>。</w:t>
      </w:r>
    </w:p>
    <w:p w14:paraId="4B506931">
      <w:pPr>
        <w:pStyle w:val="169"/>
        <w:bidi w:val="0"/>
        <w:rPr>
          <w:rFonts w:hint="default"/>
          <w:lang w:val="en-US" w:eastAsia="zh-CN"/>
        </w:rPr>
      </w:pPr>
      <w:r>
        <w:rPr>
          <w:rFonts w:hint="default"/>
          <w:lang w:val="en-US" w:eastAsia="zh-CN"/>
        </w:rPr>
        <w:t>设备应具备良好的抗干扰能力</w:t>
      </w:r>
      <w:r>
        <w:rPr>
          <w:rFonts w:hint="eastAsia"/>
          <w:lang w:val="en-US" w:eastAsia="zh-CN"/>
        </w:rPr>
        <w:t>。</w:t>
      </w:r>
    </w:p>
    <w:p w14:paraId="7830760C">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1" w:name="_Toc312"/>
      <w:r>
        <w:rPr>
          <w:rFonts w:hint="eastAsia"/>
          <w:lang w:val="en-US" w:eastAsia="zh-CN"/>
        </w:rPr>
        <w:t>压力监测设备</w:t>
      </w:r>
      <w:bookmarkEnd w:id="71"/>
    </w:p>
    <w:p w14:paraId="1E7C7765">
      <w:pPr>
        <w:pStyle w:val="169"/>
        <w:bidi w:val="0"/>
        <w:rPr>
          <w:rFonts w:hint="default"/>
          <w:lang w:val="en-US" w:eastAsia="zh-CN"/>
        </w:rPr>
      </w:pPr>
      <w:r>
        <w:rPr>
          <w:rFonts w:hint="default"/>
          <w:lang w:val="en-US" w:eastAsia="zh-CN"/>
        </w:rPr>
        <w:t>优先选择高精度、高稳定性的压力传感器，考虑传感器的量程应满足管网正常运行压力范围，并预留一定的余量</w:t>
      </w:r>
      <w:r>
        <w:rPr>
          <w:rFonts w:hint="eastAsia"/>
          <w:lang w:val="en-US" w:eastAsia="zh-CN"/>
        </w:rPr>
        <w:t>。</w:t>
      </w:r>
    </w:p>
    <w:p w14:paraId="3CCBA5D6">
      <w:pPr>
        <w:pStyle w:val="169"/>
        <w:bidi w:val="0"/>
        <w:rPr>
          <w:rFonts w:hint="default"/>
          <w:lang w:val="en-US" w:eastAsia="zh-CN"/>
        </w:rPr>
      </w:pPr>
      <w:r>
        <w:rPr>
          <w:rFonts w:hint="default"/>
          <w:lang w:val="en-US" w:eastAsia="zh-CN"/>
        </w:rPr>
        <w:t>压力传感器的测量精度应不低于±0.01MPa，分辨率应达到0.001MPa</w:t>
      </w:r>
      <w:r>
        <w:rPr>
          <w:rFonts w:hint="eastAsia"/>
          <w:lang w:val="en-US" w:eastAsia="zh-CN"/>
        </w:rPr>
        <w:t>。</w:t>
      </w:r>
    </w:p>
    <w:p w14:paraId="293B8B2F">
      <w:pPr>
        <w:pStyle w:val="169"/>
        <w:bidi w:val="0"/>
        <w:rPr>
          <w:rFonts w:hint="default"/>
          <w:lang w:val="en-US" w:eastAsia="zh-CN"/>
        </w:rPr>
      </w:pPr>
      <w:r>
        <w:rPr>
          <w:rFonts w:hint="default"/>
          <w:lang w:val="en-US" w:eastAsia="zh-CN"/>
        </w:rPr>
        <w:t>设备的长期稳定性应良好，在规定的使用期限内，零点漂移和量程漂移应不超过±0.02MPa</w:t>
      </w:r>
      <w:r>
        <w:rPr>
          <w:rFonts w:hint="eastAsia"/>
          <w:lang w:val="en-US" w:eastAsia="zh-CN"/>
        </w:rPr>
        <w:t>。</w:t>
      </w:r>
    </w:p>
    <w:p w14:paraId="518BF773">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2" w:name="_Toc28528"/>
      <w:r>
        <w:rPr>
          <w:rFonts w:hint="default"/>
          <w:lang w:val="en-US" w:eastAsia="zh-CN"/>
        </w:rPr>
        <w:t>噪声监测设备</w:t>
      </w:r>
      <w:bookmarkEnd w:id="72"/>
    </w:p>
    <w:p w14:paraId="78CEBAE3">
      <w:pPr>
        <w:pStyle w:val="169"/>
        <w:bidi w:val="0"/>
        <w:rPr>
          <w:rFonts w:hint="default"/>
          <w:lang w:val="en-US" w:eastAsia="zh-CN"/>
        </w:rPr>
      </w:pPr>
      <w:r>
        <w:rPr>
          <w:rFonts w:hint="default"/>
          <w:lang w:val="en-US" w:eastAsia="zh-CN"/>
        </w:rPr>
        <w:t>噪声传感器应具备高灵敏度，频率响应范围应覆盖100Hz-2kHz</w:t>
      </w:r>
      <w:r>
        <w:rPr>
          <w:rFonts w:hint="eastAsia"/>
          <w:lang w:val="en-US" w:eastAsia="zh-CN"/>
        </w:rPr>
        <w:t>。</w:t>
      </w:r>
    </w:p>
    <w:p w14:paraId="3C5C6420">
      <w:pPr>
        <w:pStyle w:val="169"/>
        <w:bidi w:val="0"/>
        <w:rPr>
          <w:rFonts w:hint="default"/>
          <w:lang w:val="en-US" w:eastAsia="zh-CN"/>
        </w:rPr>
      </w:pPr>
      <w:r>
        <w:rPr>
          <w:rFonts w:hint="default"/>
          <w:lang w:val="en-US" w:eastAsia="zh-CN"/>
        </w:rPr>
        <w:t>应选择抗环境噪声干扰能力强的设备</w:t>
      </w:r>
      <w:r>
        <w:rPr>
          <w:rFonts w:hint="eastAsia"/>
          <w:lang w:val="en-US" w:eastAsia="zh-CN"/>
        </w:rPr>
        <w:t>。</w:t>
      </w:r>
    </w:p>
    <w:p w14:paraId="38CF96AE">
      <w:pPr>
        <w:pStyle w:val="169"/>
        <w:bidi w:val="0"/>
        <w:rPr>
          <w:rFonts w:hint="default"/>
          <w:lang w:val="en-US" w:eastAsia="zh-CN"/>
        </w:rPr>
      </w:pPr>
      <w:r>
        <w:rPr>
          <w:rFonts w:hint="default"/>
          <w:lang w:val="en-US" w:eastAsia="zh-CN"/>
        </w:rPr>
        <w:t>噪声传感器的灵敏度应不低于-40dB（V/Pa），动态范围应不小于60dB</w:t>
      </w:r>
      <w:r>
        <w:rPr>
          <w:rFonts w:hint="eastAsia"/>
          <w:lang w:val="en-US" w:eastAsia="zh-CN"/>
        </w:rPr>
        <w:t>。</w:t>
      </w:r>
    </w:p>
    <w:p w14:paraId="3870F97A">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3" w:name="_Toc30279"/>
      <w:r>
        <w:rPr>
          <w:rFonts w:hint="default"/>
          <w:lang w:val="en-US" w:eastAsia="zh-CN"/>
        </w:rPr>
        <w:t>监测设备布设原则与方法</w:t>
      </w:r>
      <w:bookmarkEnd w:id="73"/>
    </w:p>
    <w:p w14:paraId="380C8252">
      <w:pPr>
        <w:pStyle w:val="68"/>
        <w:bidi w:val="0"/>
        <w:rPr>
          <w:rFonts w:hint="default"/>
          <w:lang w:val="en-US" w:eastAsia="zh-CN"/>
        </w:rPr>
      </w:pPr>
      <w:r>
        <w:rPr>
          <w:rFonts w:hint="eastAsia"/>
          <w:lang w:val="en-US" w:eastAsia="zh-CN"/>
        </w:rPr>
        <w:t>布设原则</w:t>
      </w:r>
    </w:p>
    <w:p w14:paraId="1B6E65D3">
      <w:pPr>
        <w:pStyle w:val="168"/>
        <w:bidi w:val="0"/>
        <w:rPr>
          <w:rFonts w:hint="default"/>
          <w:lang w:val="en-US" w:eastAsia="zh-CN"/>
        </w:rPr>
      </w:pPr>
      <w:r>
        <w:rPr>
          <w:rFonts w:hint="default"/>
          <w:lang w:val="en-US" w:eastAsia="zh-CN"/>
        </w:rPr>
        <w:t>监测设备应均匀分布在管网的各个区域，包括主干管、支管、关键节点等，确保能够全面监测管网的运行状态。</w:t>
      </w:r>
    </w:p>
    <w:p w14:paraId="1BF4BAC7">
      <w:pPr>
        <w:pStyle w:val="168"/>
        <w:bidi w:val="0"/>
        <w:rPr>
          <w:rFonts w:hint="default"/>
          <w:lang w:val="en-US" w:eastAsia="zh-CN"/>
        </w:rPr>
      </w:pPr>
      <w:r>
        <w:rPr>
          <w:rFonts w:hint="default"/>
          <w:lang w:val="en-US" w:eastAsia="zh-CN"/>
        </w:rPr>
        <w:t>对于易发生漏损的区域，如老旧管网地段</w:t>
      </w:r>
      <w:r>
        <w:rPr>
          <w:rFonts w:hint="eastAsia"/>
          <w:lang w:val="en-US" w:eastAsia="zh-CN"/>
        </w:rPr>
        <w:t>、</w:t>
      </w:r>
      <w:r>
        <w:rPr>
          <w:rFonts w:hint="default"/>
          <w:lang w:val="en-US" w:eastAsia="zh-CN"/>
        </w:rPr>
        <w:t>穿越河流或道路的管段、接口较多的部位等，应加密监测设备的布置。</w:t>
      </w:r>
    </w:p>
    <w:p w14:paraId="17E7E338">
      <w:pPr>
        <w:pStyle w:val="168"/>
        <w:bidi w:val="0"/>
        <w:rPr>
          <w:rFonts w:hint="default"/>
          <w:lang w:val="en-US" w:eastAsia="zh-CN"/>
        </w:rPr>
      </w:pPr>
      <w:r>
        <w:rPr>
          <w:rFonts w:hint="default"/>
          <w:lang w:val="en-US" w:eastAsia="zh-CN"/>
        </w:rPr>
        <w:t>在满足监测要求的前提下，</w:t>
      </w:r>
      <w:r>
        <w:rPr>
          <w:rFonts w:hint="eastAsia"/>
          <w:lang w:val="en-US" w:eastAsia="zh-CN"/>
        </w:rPr>
        <w:t>应</w:t>
      </w:r>
      <w:r>
        <w:rPr>
          <w:rFonts w:hint="default"/>
          <w:lang w:val="en-US" w:eastAsia="zh-CN"/>
        </w:rPr>
        <w:t>合理控制监测设备的数量，降低建设成本和运行维护成本。</w:t>
      </w:r>
    </w:p>
    <w:p w14:paraId="32670308">
      <w:pPr>
        <w:pStyle w:val="68"/>
        <w:bidi w:val="0"/>
        <w:rPr>
          <w:rFonts w:hint="default"/>
          <w:lang w:val="en-US" w:eastAsia="zh-CN"/>
        </w:rPr>
      </w:pPr>
      <w:r>
        <w:rPr>
          <w:rFonts w:hint="eastAsia"/>
          <w:lang w:val="en-US" w:eastAsia="zh-CN"/>
        </w:rPr>
        <w:t>布设方法</w:t>
      </w:r>
    </w:p>
    <w:p w14:paraId="55DE42B7">
      <w:pPr>
        <w:pStyle w:val="168"/>
        <w:bidi w:val="0"/>
        <w:rPr>
          <w:rFonts w:hint="default"/>
          <w:lang w:val="en-US" w:eastAsia="zh-CN"/>
        </w:rPr>
      </w:pPr>
      <w:r>
        <w:rPr>
          <w:rFonts w:hint="eastAsia"/>
          <w:lang w:val="en-US" w:eastAsia="zh-CN"/>
        </w:rPr>
        <w:t>应</w:t>
      </w:r>
      <w:r>
        <w:rPr>
          <w:rFonts w:hint="default"/>
          <w:lang w:val="en-US" w:eastAsia="zh-CN"/>
        </w:rPr>
        <w:t>在 DMA</w:t>
      </w:r>
      <w:r>
        <w:rPr>
          <w:rFonts w:hint="eastAsia"/>
          <w:lang w:val="en-US" w:eastAsia="zh-CN"/>
        </w:rPr>
        <w:t>（独立计量区域）</w:t>
      </w:r>
      <w:r>
        <w:rPr>
          <w:rFonts w:hint="default"/>
          <w:lang w:val="en-US" w:eastAsia="zh-CN"/>
        </w:rPr>
        <w:t xml:space="preserve"> 进出口、水厂总出水口、市政干管关键节点安装大口径超声波流量计，监测区域总供水量与售水量，计算区域漏损率。</w:t>
      </w:r>
    </w:p>
    <w:p w14:paraId="56BBF48F">
      <w:pPr>
        <w:pStyle w:val="168"/>
        <w:bidi w:val="0"/>
        <w:rPr>
          <w:rFonts w:hint="default"/>
          <w:lang w:val="en-US" w:eastAsia="zh-CN"/>
        </w:rPr>
      </w:pPr>
      <w:r>
        <w:rPr>
          <w:rFonts w:hint="eastAsia"/>
          <w:lang w:val="en-US" w:eastAsia="zh-CN"/>
        </w:rPr>
        <w:t>应</w:t>
      </w:r>
      <w:r>
        <w:rPr>
          <w:rFonts w:hint="default"/>
          <w:lang w:val="en-US" w:eastAsia="zh-CN"/>
        </w:rPr>
        <w:t>在支管、小区进水总管安装电磁流量计或智能水表，定位漏损发生的子区域</w:t>
      </w:r>
      <w:r>
        <w:rPr>
          <w:rFonts w:hint="eastAsia"/>
          <w:lang w:val="en-US" w:eastAsia="zh-CN"/>
        </w:rPr>
        <w:t>。</w:t>
      </w:r>
    </w:p>
    <w:p w14:paraId="0DCBE939">
      <w:pPr>
        <w:pStyle w:val="168"/>
        <w:bidi w:val="0"/>
        <w:rPr>
          <w:rFonts w:hint="default"/>
          <w:lang w:val="en-US" w:eastAsia="zh-CN"/>
        </w:rPr>
      </w:pPr>
      <w:r>
        <w:rPr>
          <w:rFonts w:hint="eastAsia"/>
          <w:lang w:val="en-US" w:eastAsia="zh-CN"/>
        </w:rPr>
        <w:t>应</w:t>
      </w:r>
      <w:r>
        <w:rPr>
          <w:rFonts w:hint="default"/>
          <w:lang w:val="en-US" w:eastAsia="zh-CN"/>
        </w:rPr>
        <w:t>在漏损风险点（如管道接口、阀门井）安装压力传感器、声学传感器，实时捕捉压力异常波动和漏水声信号，精准定位漏点</w:t>
      </w:r>
      <w:r>
        <w:rPr>
          <w:rFonts w:hint="eastAsia"/>
          <w:lang w:val="en-US" w:eastAsia="zh-CN"/>
        </w:rPr>
        <w:t>。</w:t>
      </w:r>
    </w:p>
    <w:p w14:paraId="53BC30D3">
      <w:pPr>
        <w:pStyle w:val="108"/>
        <w:bidi w:val="0"/>
        <w:rPr>
          <w:rFonts w:hint="default"/>
          <w:lang w:val="en-US" w:eastAsia="zh-CN"/>
        </w:rPr>
      </w:pPr>
      <w:bookmarkStart w:id="74" w:name="_Toc7220"/>
      <w:r>
        <w:rPr>
          <w:rFonts w:hint="eastAsia"/>
          <w:lang w:val="en-US" w:eastAsia="zh-CN"/>
        </w:rPr>
        <w:t>数据采集、传输与管理</w:t>
      </w:r>
      <w:bookmarkEnd w:id="74"/>
    </w:p>
    <w:p w14:paraId="1B578978">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5" w:name="_Toc11842"/>
      <w:r>
        <w:rPr>
          <w:rFonts w:hint="eastAsia"/>
          <w:lang w:val="en-US" w:eastAsia="zh-CN"/>
        </w:rPr>
        <w:t>采集频率</w:t>
      </w:r>
      <w:bookmarkEnd w:id="75"/>
    </w:p>
    <w:p w14:paraId="211300FF">
      <w:pPr>
        <w:pStyle w:val="169"/>
        <w:bidi w:val="0"/>
        <w:rPr>
          <w:rFonts w:hint="default"/>
          <w:lang w:val="en-US" w:eastAsia="zh-CN"/>
        </w:rPr>
      </w:pPr>
      <w:r>
        <w:rPr>
          <w:rFonts w:hint="default"/>
          <w:lang w:val="en-US" w:eastAsia="zh-CN"/>
        </w:rPr>
        <w:t>对于压力、流量、噪声等关键运行参数，监测设备应具备实时采集能力，数据采集频率不低于 1 次/分钟 ，及时捕捉管网运行状态的瞬间变化</w:t>
      </w:r>
      <w:r>
        <w:rPr>
          <w:rFonts w:hint="eastAsia"/>
          <w:lang w:val="en-US" w:eastAsia="zh-CN"/>
        </w:rPr>
        <w:t>。</w:t>
      </w:r>
    </w:p>
    <w:p w14:paraId="1913AE66">
      <w:pPr>
        <w:pStyle w:val="169"/>
        <w:bidi w:val="0"/>
        <w:rPr>
          <w:rFonts w:hint="default"/>
          <w:lang w:val="en-US" w:eastAsia="zh-CN"/>
        </w:rPr>
      </w:pPr>
      <w:r>
        <w:rPr>
          <w:rFonts w:hint="default"/>
          <w:lang w:val="en-US" w:eastAsia="zh-CN"/>
        </w:rPr>
        <w:t>水质等变化相对缓慢的参数，可采用定时采集方式，采集频率为每2-4小时一次</w:t>
      </w:r>
      <w:r>
        <w:rPr>
          <w:rFonts w:hint="eastAsia"/>
          <w:lang w:val="en-US" w:eastAsia="zh-CN"/>
        </w:rPr>
        <w:t>。</w:t>
      </w:r>
    </w:p>
    <w:p w14:paraId="1EEFBC43">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6" w:name="_Toc4870"/>
      <w:r>
        <w:rPr>
          <w:rFonts w:hint="eastAsia"/>
          <w:lang w:val="en-US" w:eastAsia="zh-CN"/>
        </w:rPr>
        <w:t>传输协议</w:t>
      </w:r>
      <w:bookmarkEnd w:id="76"/>
    </w:p>
    <w:p w14:paraId="111F2505">
      <w:pPr>
        <w:pStyle w:val="169"/>
        <w:bidi w:val="0"/>
        <w:rPr>
          <w:rFonts w:hint="default"/>
          <w:lang w:val="en-US" w:eastAsia="zh-CN"/>
        </w:rPr>
      </w:pPr>
      <w:r>
        <w:rPr>
          <w:rFonts w:hint="default"/>
          <w:lang w:val="en-US" w:eastAsia="zh-CN"/>
        </w:rPr>
        <w:t>采用NB-IoT、LoRa、5G等无线通信协议时，应符合相关的行业标准和技术规范。</w:t>
      </w:r>
    </w:p>
    <w:p w14:paraId="20CFB819">
      <w:pPr>
        <w:pStyle w:val="169"/>
        <w:bidi w:val="0"/>
        <w:rPr>
          <w:rFonts w:hint="default"/>
          <w:lang w:val="en-US" w:eastAsia="zh-CN"/>
        </w:rPr>
      </w:pPr>
      <w:r>
        <w:rPr>
          <w:rFonts w:hint="default"/>
          <w:lang w:val="en-US" w:eastAsia="zh-CN"/>
        </w:rPr>
        <w:t>使用光纤、以太网等有线通信时，应遵循相应的通信标准</w:t>
      </w:r>
      <w:r>
        <w:rPr>
          <w:rFonts w:hint="eastAsia"/>
          <w:lang w:val="en-US" w:eastAsia="zh-CN"/>
        </w:rPr>
        <w:t>。</w:t>
      </w:r>
    </w:p>
    <w:p w14:paraId="70238F3E">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7" w:name="_Toc24743"/>
      <w:r>
        <w:rPr>
          <w:rFonts w:hint="eastAsia"/>
          <w:lang w:val="en-US" w:eastAsia="zh-CN"/>
        </w:rPr>
        <w:t>存储格式</w:t>
      </w:r>
      <w:bookmarkEnd w:id="77"/>
    </w:p>
    <w:p w14:paraId="701B540C">
      <w:pPr>
        <w:pStyle w:val="169"/>
        <w:bidi w:val="0"/>
        <w:rPr>
          <w:rFonts w:hint="default"/>
          <w:lang w:val="en-US" w:eastAsia="zh-CN"/>
        </w:rPr>
      </w:pPr>
      <w:r>
        <w:rPr>
          <w:rFonts w:hint="default"/>
          <w:lang w:val="en-US" w:eastAsia="zh-CN"/>
        </w:rPr>
        <w:t>用于存储结构化的监测数据，如压力、流量、水质等数值型数据，应采用符合 SQL 标准的数据库管理系统</w:t>
      </w:r>
      <w:r>
        <w:rPr>
          <w:rFonts w:hint="eastAsia"/>
          <w:lang w:val="en-US" w:eastAsia="zh-CN"/>
        </w:rPr>
        <w:t>。</w:t>
      </w:r>
    </w:p>
    <w:p w14:paraId="03595BAA">
      <w:pPr>
        <w:pStyle w:val="169"/>
        <w:bidi w:val="0"/>
        <w:rPr>
          <w:rFonts w:hint="default"/>
          <w:lang w:val="en-US" w:eastAsia="zh-CN"/>
        </w:rPr>
      </w:pPr>
      <w:r>
        <w:rPr>
          <w:rFonts w:hint="default"/>
          <w:lang w:val="en-US" w:eastAsia="zh-CN"/>
        </w:rPr>
        <w:t>对于非结构化数据，如噪声信号、图像、视频等，可选用适合的非关系型数据库</w:t>
      </w:r>
      <w:r>
        <w:rPr>
          <w:rFonts w:hint="eastAsia"/>
          <w:lang w:val="en-US" w:eastAsia="zh-CN"/>
        </w:rPr>
        <w:t>。</w:t>
      </w:r>
    </w:p>
    <w:p w14:paraId="668DA126">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8" w:name="_Toc24043"/>
      <w:r>
        <w:rPr>
          <w:rFonts w:hint="eastAsia"/>
          <w:lang w:val="en-US" w:eastAsia="zh-CN"/>
        </w:rPr>
        <w:t>质量控制</w:t>
      </w:r>
      <w:bookmarkEnd w:id="78"/>
    </w:p>
    <w:p w14:paraId="4169ABBB">
      <w:pPr>
        <w:pStyle w:val="169"/>
        <w:bidi w:val="0"/>
        <w:rPr>
          <w:rFonts w:hint="default"/>
          <w:lang w:val="en-US" w:eastAsia="zh-CN"/>
        </w:rPr>
      </w:pPr>
      <w:r>
        <w:rPr>
          <w:rFonts w:hint="default"/>
          <w:lang w:val="en-US" w:eastAsia="zh-CN"/>
        </w:rPr>
        <w:t>在数据采集过程中，应采用多种校验方法</w:t>
      </w:r>
      <w:r>
        <w:rPr>
          <w:rFonts w:hint="eastAsia"/>
          <w:lang w:val="en-US" w:eastAsia="zh-CN"/>
        </w:rPr>
        <w:t>（</w:t>
      </w:r>
      <w:r>
        <w:rPr>
          <w:rFonts w:hint="default"/>
          <w:lang w:val="en-US" w:eastAsia="zh-CN"/>
        </w:rPr>
        <w:t>奇偶校验、CRC 校验等</w:t>
      </w:r>
      <w:r>
        <w:rPr>
          <w:rFonts w:hint="eastAsia"/>
          <w:lang w:val="en-US" w:eastAsia="zh-CN"/>
        </w:rPr>
        <w:t>）</w:t>
      </w:r>
      <w:r>
        <w:rPr>
          <w:rFonts w:hint="default"/>
          <w:lang w:val="en-US" w:eastAsia="zh-CN"/>
        </w:rPr>
        <w:t>，对采集到的数据进行实时校验</w:t>
      </w:r>
      <w:r>
        <w:rPr>
          <w:rFonts w:hint="eastAsia"/>
          <w:lang w:val="en-US" w:eastAsia="zh-CN"/>
        </w:rPr>
        <w:t>。</w:t>
      </w:r>
    </w:p>
    <w:p w14:paraId="7C6D1802">
      <w:pPr>
        <w:pStyle w:val="169"/>
        <w:bidi w:val="0"/>
        <w:rPr>
          <w:rFonts w:hint="default"/>
          <w:lang w:val="en-US" w:eastAsia="zh-CN"/>
        </w:rPr>
      </w:pPr>
      <w:r>
        <w:rPr>
          <w:rFonts w:hint="eastAsia"/>
          <w:lang w:val="en-US" w:eastAsia="zh-CN"/>
        </w:rPr>
        <w:t>应</w:t>
      </w:r>
      <w:r>
        <w:rPr>
          <w:rFonts w:hint="default"/>
          <w:lang w:val="en-US" w:eastAsia="zh-CN"/>
        </w:rPr>
        <w:t>建立异常值识别和处理机制，通过设定合理的数据阈值、数据变化趋势分析等方法，及时发现异常数据。</w:t>
      </w:r>
    </w:p>
    <w:p w14:paraId="050C1083">
      <w:pPr>
        <w:pStyle w:val="169"/>
        <w:bidi w:val="0"/>
        <w:rPr>
          <w:rFonts w:hint="default"/>
          <w:lang w:val="en-US" w:eastAsia="zh-CN"/>
        </w:rPr>
      </w:pPr>
      <w:r>
        <w:rPr>
          <w:rFonts w:hint="default"/>
          <w:lang w:val="en-US" w:eastAsia="zh-CN"/>
        </w:rPr>
        <w:t>对于因设备故障、通信中断等原因导致的数据缺失，应采用合适的数据补全算法，对缺失数据进行补全</w:t>
      </w:r>
      <w:r>
        <w:rPr>
          <w:rFonts w:hint="eastAsia"/>
          <w:lang w:val="en-US" w:eastAsia="zh-CN"/>
        </w:rPr>
        <w:t>。</w:t>
      </w:r>
    </w:p>
    <w:p w14:paraId="72FD87E7">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79" w:name="_Toc26074"/>
      <w:r>
        <w:rPr>
          <w:rFonts w:hint="eastAsia"/>
          <w:lang w:val="en-US" w:eastAsia="zh-CN"/>
        </w:rPr>
        <w:t>数据安全</w:t>
      </w:r>
      <w:bookmarkEnd w:id="79"/>
    </w:p>
    <w:p w14:paraId="26631C51">
      <w:pPr>
        <w:pStyle w:val="169"/>
        <w:bidi w:val="0"/>
        <w:rPr>
          <w:rFonts w:hint="default"/>
          <w:lang w:val="en-US" w:eastAsia="zh-CN"/>
        </w:rPr>
      </w:pPr>
      <w:r>
        <w:rPr>
          <w:rFonts w:hint="default"/>
          <w:lang w:val="en-US" w:eastAsia="zh-CN"/>
        </w:rPr>
        <w:t>在数据传输过程中，</w:t>
      </w:r>
      <w:r>
        <w:rPr>
          <w:rFonts w:hint="eastAsia"/>
          <w:lang w:val="en-US" w:eastAsia="zh-CN"/>
        </w:rPr>
        <w:t>应</w:t>
      </w:r>
      <w:r>
        <w:rPr>
          <w:rFonts w:hint="default"/>
          <w:lang w:val="en-US" w:eastAsia="zh-CN"/>
        </w:rPr>
        <w:t>采用 SSL/TLS 等加密协议，对数据进行加密传输，防止数据被窃取或篡改。</w:t>
      </w:r>
    </w:p>
    <w:p w14:paraId="7401CE30">
      <w:pPr>
        <w:pStyle w:val="169"/>
        <w:bidi w:val="0"/>
        <w:rPr>
          <w:rFonts w:hint="default"/>
          <w:lang w:val="en-US" w:eastAsia="zh-CN"/>
        </w:rPr>
      </w:pPr>
      <w:r>
        <w:rPr>
          <w:rFonts w:hint="eastAsia"/>
          <w:lang w:val="en-US" w:eastAsia="zh-CN"/>
        </w:rPr>
        <w:t>应</w:t>
      </w:r>
      <w:r>
        <w:rPr>
          <w:rFonts w:hint="default"/>
          <w:lang w:val="en-US" w:eastAsia="zh-CN"/>
        </w:rPr>
        <w:t>设置严格的用户权限管理机制，根据用户的角色和职责，分配不同的操作权限</w:t>
      </w:r>
      <w:r>
        <w:rPr>
          <w:rFonts w:hint="eastAsia"/>
          <w:lang w:val="en-US" w:eastAsia="zh-CN"/>
        </w:rPr>
        <w:t>。</w:t>
      </w:r>
    </w:p>
    <w:p w14:paraId="59971D8F">
      <w:pPr>
        <w:pStyle w:val="169"/>
        <w:bidi w:val="0"/>
        <w:rPr>
          <w:rFonts w:hint="default"/>
          <w:lang w:val="en-US" w:eastAsia="zh-CN"/>
        </w:rPr>
      </w:pPr>
      <w:r>
        <w:rPr>
          <w:rFonts w:hint="eastAsia"/>
          <w:lang w:val="en-US" w:eastAsia="zh-CN"/>
        </w:rPr>
        <w:t>应</w:t>
      </w:r>
      <w:r>
        <w:rPr>
          <w:rFonts w:hint="default"/>
          <w:lang w:val="en-US" w:eastAsia="zh-CN"/>
        </w:rPr>
        <w:t>建立完善的数据备份和恢复机制，定期对监测数据进行备份，并将备份数据存储在安全的位置</w:t>
      </w:r>
      <w:r>
        <w:rPr>
          <w:rFonts w:hint="eastAsia"/>
          <w:lang w:val="en-US" w:eastAsia="zh-CN"/>
        </w:rPr>
        <w:t>。</w:t>
      </w:r>
    </w:p>
    <w:p w14:paraId="0F60EDE0">
      <w:pPr>
        <w:pStyle w:val="108"/>
        <w:bidi w:val="0"/>
        <w:rPr>
          <w:rFonts w:hint="default"/>
          <w:lang w:val="en-US" w:eastAsia="zh-CN"/>
        </w:rPr>
      </w:pPr>
      <w:bookmarkStart w:id="80" w:name="_Toc30794"/>
      <w:r>
        <w:rPr>
          <w:rFonts w:hint="default"/>
          <w:lang w:val="en-US" w:eastAsia="zh-CN"/>
        </w:rPr>
        <w:t>漏损诊断、预警与控制</w:t>
      </w:r>
      <w:bookmarkEnd w:id="80"/>
    </w:p>
    <w:p w14:paraId="4C758787">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81" w:name="_Toc1523"/>
      <w:r>
        <w:rPr>
          <w:rFonts w:hint="eastAsia"/>
          <w:lang w:val="en-US" w:eastAsia="zh-CN"/>
        </w:rPr>
        <w:t>漏损诊断算法</w:t>
      </w:r>
      <w:bookmarkEnd w:id="81"/>
    </w:p>
    <w:p w14:paraId="3AC1B0D3">
      <w:pPr>
        <w:pStyle w:val="169"/>
        <w:bidi w:val="0"/>
        <w:rPr>
          <w:rFonts w:hint="default"/>
          <w:lang w:val="en-US" w:eastAsia="zh-CN"/>
        </w:rPr>
      </w:pPr>
      <w:r>
        <w:rPr>
          <w:rFonts w:hint="default"/>
          <w:lang w:val="en-US" w:eastAsia="zh-CN"/>
        </w:rPr>
        <w:t>基于流量平衡分析</w:t>
      </w:r>
      <w:r>
        <w:rPr>
          <w:rFonts w:hint="eastAsia"/>
          <w:lang w:val="en-US" w:eastAsia="zh-CN"/>
        </w:rPr>
        <w:t>。</w:t>
      </w:r>
      <w:r>
        <w:rPr>
          <w:rFonts w:hint="default"/>
          <w:lang w:val="en-US" w:eastAsia="zh-CN"/>
        </w:rPr>
        <w:t>通过对比管网中不同监测点的流量数据，利用流量守恒原理，计算各管段的理论流量与实际监测流量之间的差值，当差值超过一定阈值时，判断该管段可能存在漏损。</w:t>
      </w:r>
    </w:p>
    <w:p w14:paraId="44787F89">
      <w:pPr>
        <w:pStyle w:val="169"/>
        <w:bidi w:val="0"/>
        <w:rPr>
          <w:rFonts w:hint="default"/>
          <w:lang w:val="en-US" w:eastAsia="zh-CN"/>
        </w:rPr>
      </w:pPr>
      <w:r>
        <w:rPr>
          <w:rFonts w:hint="default"/>
          <w:lang w:val="en-US" w:eastAsia="zh-CN"/>
        </w:rPr>
        <w:t>压力变化分析</w:t>
      </w:r>
      <w:r>
        <w:rPr>
          <w:rFonts w:hint="eastAsia"/>
          <w:lang w:val="en-US" w:eastAsia="zh-CN"/>
        </w:rPr>
        <w:t>。根据管网的水力模型，分析压力监测数据的变化趋势和分布情况，结合压力传播特性和管网拓扑结构，判断可能的漏损位置。</w:t>
      </w:r>
    </w:p>
    <w:p w14:paraId="54301118">
      <w:pPr>
        <w:pStyle w:val="169"/>
        <w:bidi w:val="0"/>
        <w:rPr>
          <w:rFonts w:hint="default"/>
          <w:lang w:val="en-US" w:eastAsia="zh-CN"/>
        </w:rPr>
      </w:pPr>
      <w:r>
        <w:rPr>
          <w:rFonts w:hint="default"/>
          <w:lang w:val="en-US" w:eastAsia="zh-CN"/>
        </w:rPr>
        <w:t>机器学习算法</w:t>
      </w:r>
      <w:r>
        <w:rPr>
          <w:rFonts w:hint="eastAsia"/>
          <w:lang w:val="en-US" w:eastAsia="zh-CN"/>
        </w:rPr>
        <w:t>。收集大量的管网运行数据，包括压力、流量、温度、噪声等，以及对应的漏损事件记录，建立机器学习模型，通过对历史数据的学习和训练，对实时监测数据进行分类和预测，判断是否存在漏损以及漏损的可能性大小。</w:t>
      </w:r>
    </w:p>
    <w:p w14:paraId="6986FBEA">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82" w:name="_Toc764"/>
      <w:r>
        <w:rPr>
          <w:rFonts w:hint="default"/>
          <w:lang w:val="en-US" w:eastAsia="zh-CN"/>
        </w:rPr>
        <w:t>预警阈值设定</w:t>
      </w:r>
      <w:bookmarkEnd w:id="82"/>
    </w:p>
    <w:p w14:paraId="66435B5E">
      <w:pPr>
        <w:pStyle w:val="169"/>
        <w:bidi w:val="0"/>
        <w:rPr>
          <w:rFonts w:hint="default"/>
          <w:lang w:val="en-US" w:eastAsia="zh-CN"/>
        </w:rPr>
      </w:pPr>
      <w:r>
        <w:rPr>
          <w:rFonts w:hint="default"/>
          <w:lang w:val="en-US" w:eastAsia="zh-CN"/>
        </w:rPr>
        <w:t>根据管网的设计压力、正常运行压力范围以及历史压力波动数据，结合管网的实际运行情况和安全要求</w:t>
      </w:r>
      <w:r>
        <w:rPr>
          <w:rFonts w:hint="eastAsia"/>
          <w:lang w:val="en-US" w:eastAsia="zh-CN"/>
        </w:rPr>
        <w:t>，设定压力预警阈值。</w:t>
      </w:r>
    </w:p>
    <w:p w14:paraId="716B7014">
      <w:pPr>
        <w:pStyle w:val="169"/>
        <w:bidi w:val="0"/>
        <w:rPr>
          <w:rFonts w:hint="default"/>
          <w:lang w:val="en-US" w:eastAsia="zh-CN"/>
        </w:rPr>
      </w:pPr>
      <w:r>
        <w:rPr>
          <w:rFonts w:hint="default"/>
          <w:lang w:val="en-US" w:eastAsia="zh-CN"/>
        </w:rPr>
        <w:t>依据管网的供水能力、历史流量数据以及不同时段的用水规律，确定流量预警阈值。</w:t>
      </w:r>
    </w:p>
    <w:p w14:paraId="171F0B17">
      <w:pPr>
        <w:pStyle w:val="169"/>
        <w:bidi w:val="0"/>
        <w:rPr>
          <w:rFonts w:hint="default"/>
          <w:lang w:val="en-US" w:eastAsia="zh-CN"/>
        </w:rPr>
      </w:pPr>
      <w:r>
        <w:rPr>
          <w:rFonts w:hint="default"/>
          <w:lang w:val="en-US" w:eastAsia="zh-CN"/>
        </w:rPr>
        <w:t>参考</w:t>
      </w:r>
      <w:r>
        <w:rPr>
          <w:rFonts w:hint="default"/>
          <w:highlight w:val="none"/>
          <w:lang w:val="en-US" w:eastAsia="zh-CN"/>
        </w:rPr>
        <w:t>CJJ 92</w:t>
      </w:r>
      <w:r>
        <w:rPr>
          <w:rFonts w:hint="default"/>
          <w:lang w:val="en-US" w:eastAsia="zh-CN"/>
        </w:rPr>
        <w:t>以及当地供水企业的实际漏损控制目标，设定漏损率预警阈值。</w:t>
      </w:r>
    </w:p>
    <w:p w14:paraId="6871EADC">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83" w:name="_Toc31486"/>
      <w:r>
        <w:rPr>
          <w:rFonts w:hint="eastAsia"/>
          <w:lang w:val="en-US" w:eastAsia="zh-CN"/>
        </w:rPr>
        <w:t>漏点定位方法</w:t>
      </w:r>
      <w:bookmarkEnd w:id="83"/>
    </w:p>
    <w:p w14:paraId="1B4078A6">
      <w:pPr>
        <w:pStyle w:val="169"/>
        <w:bidi w:val="0"/>
        <w:rPr>
          <w:rFonts w:hint="default"/>
          <w:lang w:val="en-US" w:eastAsia="zh-CN"/>
        </w:rPr>
      </w:pPr>
      <w:r>
        <w:rPr>
          <w:rFonts w:hint="default"/>
          <w:lang w:val="en-US" w:eastAsia="zh-CN"/>
        </w:rPr>
        <w:t>利用多个噪声传感器或压力传感器采集的数据，通过计算不同传感器之间信号的相关性，确定漏点位置。</w:t>
      </w:r>
    </w:p>
    <w:p w14:paraId="2915AE3B">
      <w:pPr>
        <w:pStyle w:val="169"/>
        <w:bidi w:val="0"/>
        <w:rPr>
          <w:rFonts w:hint="default"/>
          <w:lang w:val="en-US" w:eastAsia="zh-CN"/>
        </w:rPr>
      </w:pPr>
      <w:r>
        <w:rPr>
          <w:rFonts w:hint="default"/>
          <w:lang w:val="en-US" w:eastAsia="zh-CN"/>
        </w:rPr>
        <w:t>基于机器学习中的神经网络模型，将多个监测点的压力、流量、噪声等数据作为输入，经过训练好的神经网络模型处理，直接输出漏点的位置坐标。</w:t>
      </w:r>
    </w:p>
    <w:p w14:paraId="23257F85">
      <w:pPr>
        <w:pStyle w:val="169"/>
        <w:bidi w:val="0"/>
        <w:rPr>
          <w:rFonts w:hint="default"/>
          <w:lang w:val="en-US" w:eastAsia="zh-CN"/>
        </w:rPr>
      </w:pPr>
      <w:r>
        <w:rPr>
          <w:rFonts w:hint="default"/>
          <w:lang w:val="en-US" w:eastAsia="zh-CN"/>
        </w:rPr>
        <w:t>将管网划分为若干个较小的区域，通过关闭区域之间的阀门，逐一对每个区域进行压力测试和流量监测。</w:t>
      </w:r>
    </w:p>
    <w:p w14:paraId="0DD7DAB7">
      <w:pPr>
        <w:pStyle w:val="108"/>
        <w:bidi w:val="0"/>
        <w:rPr>
          <w:rFonts w:hint="default"/>
          <w:lang w:val="en-US" w:eastAsia="zh-CN"/>
        </w:rPr>
      </w:pPr>
      <w:bookmarkStart w:id="84" w:name="_Toc25109"/>
      <w:r>
        <w:rPr>
          <w:rFonts w:hint="default"/>
          <w:lang w:val="en-US" w:eastAsia="zh-CN"/>
        </w:rPr>
        <w:t>系统平台功能要求</w:t>
      </w:r>
      <w:bookmarkEnd w:id="84"/>
    </w:p>
    <w:p w14:paraId="5F9C29BB">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85" w:name="_Toc10799"/>
      <w:r>
        <w:rPr>
          <w:rFonts w:hint="default"/>
          <w:lang w:val="en-US" w:eastAsia="zh-CN"/>
        </w:rPr>
        <w:t>数据可视化</w:t>
      </w:r>
      <w:bookmarkEnd w:id="85"/>
    </w:p>
    <w:p w14:paraId="5663EE93">
      <w:pPr>
        <w:pStyle w:val="169"/>
        <w:bidi w:val="0"/>
        <w:rPr>
          <w:rFonts w:hint="default"/>
          <w:lang w:val="en-US" w:eastAsia="zh-CN"/>
        </w:rPr>
      </w:pPr>
      <w:r>
        <w:rPr>
          <w:rFonts w:hint="default"/>
          <w:lang w:val="en-US" w:eastAsia="zh-CN"/>
        </w:rPr>
        <w:t>在电子地图上</w:t>
      </w:r>
      <w:r>
        <w:rPr>
          <w:rFonts w:hint="eastAsia"/>
          <w:lang w:val="en-US" w:eastAsia="zh-CN"/>
        </w:rPr>
        <w:t>应</w:t>
      </w:r>
      <w:r>
        <w:rPr>
          <w:rFonts w:hint="default"/>
          <w:lang w:val="en-US" w:eastAsia="zh-CN"/>
        </w:rPr>
        <w:t>直观展示管网的拓扑结构，清晰呈现各管段、监测点、阀门、泵站等设施的地理位置分布</w:t>
      </w:r>
      <w:r>
        <w:rPr>
          <w:rFonts w:hint="eastAsia"/>
          <w:lang w:val="en-US" w:eastAsia="zh-CN"/>
        </w:rPr>
        <w:t>，并</w:t>
      </w:r>
      <w:r>
        <w:rPr>
          <w:rFonts w:hint="default"/>
          <w:lang w:val="en-US" w:eastAsia="zh-CN"/>
        </w:rPr>
        <w:t>通过不同颜色、图标区分不同类型的管网设施和运行状态</w:t>
      </w:r>
      <w:r>
        <w:rPr>
          <w:rFonts w:hint="eastAsia"/>
          <w:lang w:val="en-US" w:eastAsia="zh-CN"/>
        </w:rPr>
        <w:t>。</w:t>
      </w:r>
    </w:p>
    <w:p w14:paraId="6AAFD372">
      <w:pPr>
        <w:pStyle w:val="169"/>
        <w:bidi w:val="0"/>
        <w:rPr>
          <w:rFonts w:hint="default"/>
          <w:lang w:val="en-US" w:eastAsia="zh-CN"/>
        </w:rPr>
      </w:pPr>
      <w:r>
        <w:rPr>
          <w:rFonts w:hint="eastAsia"/>
          <w:lang w:val="en-US" w:eastAsia="zh-CN"/>
        </w:rPr>
        <w:t>应</w:t>
      </w:r>
      <w:r>
        <w:rPr>
          <w:rFonts w:hint="default"/>
          <w:lang w:val="en-US" w:eastAsia="zh-CN"/>
        </w:rPr>
        <w:t>提供多种类型的图表，用于展示管网的运行数据。</w:t>
      </w:r>
    </w:p>
    <w:p w14:paraId="1CC22C26">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86" w:name="_Toc22962"/>
      <w:r>
        <w:rPr>
          <w:rFonts w:hint="default"/>
          <w:lang w:val="en-US" w:eastAsia="zh-CN"/>
        </w:rPr>
        <w:t>报警管理</w:t>
      </w:r>
      <w:bookmarkEnd w:id="86"/>
    </w:p>
    <w:p w14:paraId="530B753D">
      <w:pPr>
        <w:pStyle w:val="169"/>
        <w:bidi w:val="0"/>
        <w:rPr>
          <w:rFonts w:hint="default"/>
          <w:lang w:val="en-US" w:eastAsia="zh-CN"/>
        </w:rPr>
      </w:pPr>
      <w:r>
        <w:rPr>
          <w:rFonts w:hint="eastAsia"/>
          <w:lang w:val="en-US" w:eastAsia="zh-CN"/>
        </w:rPr>
        <w:t>应</w:t>
      </w:r>
      <w:r>
        <w:rPr>
          <w:rFonts w:hint="default"/>
          <w:lang w:val="en-US" w:eastAsia="zh-CN"/>
        </w:rPr>
        <w:t>根据实际需求，自定义设置各类报警规则和阈值，包括压力异常报警、流量异常报警、漏损率超标报警等</w:t>
      </w:r>
      <w:r>
        <w:rPr>
          <w:rFonts w:hint="eastAsia"/>
          <w:lang w:val="en-US" w:eastAsia="zh-CN"/>
        </w:rPr>
        <w:t>。</w:t>
      </w:r>
    </w:p>
    <w:p w14:paraId="4D8B756F">
      <w:pPr>
        <w:pStyle w:val="169"/>
        <w:bidi w:val="0"/>
        <w:rPr>
          <w:rFonts w:hint="default"/>
          <w:lang w:val="en-US" w:eastAsia="zh-CN"/>
        </w:rPr>
      </w:pPr>
      <w:r>
        <w:rPr>
          <w:rFonts w:hint="default"/>
          <w:lang w:val="en-US" w:eastAsia="zh-CN"/>
        </w:rPr>
        <w:t>当系统检测到异常情况并触发报警时，</w:t>
      </w:r>
      <w:r>
        <w:rPr>
          <w:rFonts w:hint="eastAsia"/>
          <w:lang w:val="en-US" w:eastAsia="zh-CN"/>
        </w:rPr>
        <w:t>应</w:t>
      </w:r>
      <w:r>
        <w:rPr>
          <w:rFonts w:hint="default"/>
          <w:lang w:val="en-US" w:eastAsia="zh-CN"/>
        </w:rPr>
        <w:t>通过多种方式及时通知相关管理人员。</w:t>
      </w:r>
    </w:p>
    <w:p w14:paraId="3476F779">
      <w:pPr>
        <w:pStyle w:val="169"/>
        <w:bidi w:val="0"/>
        <w:rPr>
          <w:rFonts w:hint="default"/>
          <w:lang w:val="en-US" w:eastAsia="zh-CN"/>
        </w:rPr>
      </w:pPr>
      <w:r>
        <w:rPr>
          <w:rFonts w:hint="default"/>
          <w:lang w:val="en-US" w:eastAsia="zh-CN"/>
        </w:rPr>
        <w:t>系统</w:t>
      </w:r>
      <w:r>
        <w:rPr>
          <w:rFonts w:hint="eastAsia"/>
          <w:lang w:val="en-US" w:eastAsia="zh-CN"/>
        </w:rPr>
        <w:t>应</w:t>
      </w:r>
      <w:r>
        <w:rPr>
          <w:rFonts w:hint="default"/>
          <w:lang w:val="en-US" w:eastAsia="zh-CN"/>
        </w:rPr>
        <w:t>自动记录所有的报警事件，形成完整的报警日志，包括报警时间、报警类型、报警位置、处理状态、处理时间等信息。</w:t>
      </w:r>
    </w:p>
    <w:p w14:paraId="33C3F1FE">
      <w:pPr>
        <w:pStyle w:val="108"/>
        <w:bidi w:val="0"/>
        <w:rPr>
          <w:rFonts w:hint="default"/>
          <w:lang w:val="en-US" w:eastAsia="zh-CN"/>
        </w:rPr>
      </w:pPr>
      <w:bookmarkStart w:id="87" w:name="_Toc29666"/>
      <w:r>
        <w:rPr>
          <w:rFonts w:hint="default"/>
          <w:lang w:val="en-US" w:eastAsia="zh-CN"/>
        </w:rPr>
        <w:t>运行与维护</w:t>
      </w:r>
      <w:bookmarkEnd w:id="87"/>
    </w:p>
    <w:p w14:paraId="32B5A3F6">
      <w:pPr>
        <w:pStyle w:val="10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bookmarkStart w:id="88" w:name="_Toc10904"/>
      <w:r>
        <w:rPr>
          <w:rFonts w:hint="eastAsia"/>
          <w:lang w:val="en-US" w:eastAsia="zh-CN"/>
        </w:rPr>
        <w:t>日常运行监控</w:t>
      </w:r>
      <w:bookmarkEnd w:id="88"/>
    </w:p>
    <w:p w14:paraId="3B14E2BB">
      <w:pPr>
        <w:pStyle w:val="169"/>
        <w:bidi w:val="0"/>
        <w:rPr>
          <w:rFonts w:hint="default"/>
          <w:lang w:val="en-US" w:eastAsia="zh-CN"/>
        </w:rPr>
      </w:pPr>
      <w:r>
        <w:rPr>
          <w:rFonts w:hint="default"/>
          <w:lang w:val="en-US" w:eastAsia="zh-CN"/>
        </w:rPr>
        <w:t>利用系统平台实时监控管网的运行状态，包括各监测点的压力、流量、噪声、水质等参数的实时数据，以及设备的运行状态（如监测设备是否正常工作、阀门的开闭状态、水泵的运行频率等）。</w:t>
      </w:r>
    </w:p>
    <w:p w14:paraId="3DC5D230">
      <w:pPr>
        <w:pStyle w:val="169"/>
        <w:bidi w:val="0"/>
        <w:rPr>
          <w:rFonts w:hint="default"/>
          <w:lang w:val="en-US" w:eastAsia="zh-CN"/>
        </w:rPr>
      </w:pPr>
      <w:r>
        <w:rPr>
          <w:rFonts w:hint="default"/>
          <w:lang w:val="en-US" w:eastAsia="zh-CN"/>
        </w:rPr>
        <w:t>安排专人负责日常运行监控工作，对管网运行数据进行不间断实时监控。对于关键参数和设备状态，每15分钟进行一次人工巡检确认</w:t>
      </w:r>
      <w:r>
        <w:rPr>
          <w:rFonts w:hint="eastAsia"/>
          <w:lang w:val="en-US" w:eastAsia="zh-CN"/>
        </w:rPr>
        <w:t>。</w:t>
      </w:r>
    </w:p>
    <w:p w14:paraId="08DBF907">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89" w:name="_Toc14422"/>
      <w:r>
        <w:rPr>
          <w:rFonts w:hint="eastAsia"/>
          <w:lang w:val="en-US" w:eastAsia="zh-CN"/>
        </w:rPr>
        <w:t>定期维护保养</w:t>
      </w:r>
      <w:bookmarkEnd w:id="89"/>
    </w:p>
    <w:p w14:paraId="6E60F7D8">
      <w:pPr>
        <w:pStyle w:val="169"/>
        <w:bidi w:val="0"/>
        <w:rPr>
          <w:rFonts w:hint="eastAsia"/>
          <w:lang w:val="en-US" w:eastAsia="zh-CN"/>
        </w:rPr>
      </w:pPr>
      <w:r>
        <w:rPr>
          <w:rFonts w:hint="eastAsia"/>
          <w:lang w:val="en-US" w:eastAsia="zh-CN"/>
        </w:rPr>
        <w:t>应制定详细的设备维护计划，对监测设备、通信设备、控制设备等进行定期维护保养。</w:t>
      </w:r>
    </w:p>
    <w:p w14:paraId="7276AF49">
      <w:pPr>
        <w:pStyle w:val="169"/>
        <w:bidi w:val="0"/>
        <w:rPr>
          <w:rFonts w:hint="eastAsia"/>
          <w:lang w:val="en-US" w:eastAsia="zh-CN"/>
        </w:rPr>
      </w:pPr>
      <w:r>
        <w:rPr>
          <w:rFonts w:hint="eastAsia"/>
          <w:lang w:val="en-US" w:eastAsia="zh-CN"/>
        </w:rPr>
        <w:t>每半年对系统的软件进行一次升级，更新系统功能，修复软件漏洞，提高系统的稳定性和安全性。</w:t>
      </w:r>
    </w:p>
    <w:p w14:paraId="5B11FD50">
      <w:pPr>
        <w:pStyle w:val="169"/>
        <w:bidi w:val="0"/>
        <w:rPr>
          <w:rFonts w:hint="eastAsia"/>
          <w:lang w:val="en-US" w:eastAsia="zh-CN"/>
        </w:rPr>
      </w:pPr>
      <w:r>
        <w:rPr>
          <w:rFonts w:hint="eastAsia"/>
          <w:lang w:val="en-US" w:eastAsia="zh-CN"/>
        </w:rPr>
        <w:t>每年对系统的硬件进行一次全面检测和维护，包括服务器、存储设备、网络设备等 ，检查硬件的性能指标是否正常，对老化、损坏的硬件部件及时进行更换。</w:t>
      </w:r>
      <w:bookmarkEnd w:id="59"/>
      <w:bookmarkEnd w:id="60"/>
      <w:bookmarkEnd w:id="61"/>
      <w:bookmarkEnd w:id="62"/>
      <w:bookmarkEnd w:id="63"/>
      <w:bookmarkEnd w:id="64"/>
      <w:bookmarkStart w:id="90" w:name="_Toc13108"/>
    </w:p>
    <w:bookmarkEnd w:id="90"/>
    <w:p w14:paraId="3C9773D1">
      <w:pPr>
        <w:pStyle w:val="59"/>
        <w:rPr>
          <w:rFonts w:hint="eastAsia"/>
          <w:lang w:val="en-US" w:eastAsia="zh-CN"/>
        </w:rPr>
      </w:pPr>
    </w:p>
    <w:p w14:paraId="3F28D457">
      <w:pPr>
        <w:pStyle w:val="59"/>
        <w:rPr>
          <w:rFonts w:hint="eastAsia"/>
          <w:lang w:val="en-US" w:eastAsia="zh-CN"/>
        </w:rPr>
      </w:pPr>
    </w:p>
    <w:p w14:paraId="4973FA86">
      <w:pPr>
        <w:pStyle w:val="59"/>
        <w:rPr>
          <w:rFonts w:hint="eastAsia"/>
          <w:lang w:val="en-US" w:eastAsia="zh-CN"/>
        </w:rPr>
      </w:pPr>
    </w:p>
    <w:bookmarkEnd w:id="4"/>
    <w:p w14:paraId="397AC3B9">
      <w:pPr>
        <w:pStyle w:val="236"/>
        <w:framePr w:wrap="around"/>
        <w:jc w:val="center"/>
        <w:rPr>
          <w:rFonts w:hint="default"/>
          <w:lang w:val="en-US" w:eastAsia="zh-CN"/>
        </w:rPr>
      </w:pPr>
      <w:r>
        <w:t>_________________________________</w:t>
      </w:r>
    </w:p>
    <w:sectPr>
      <w:footerReference r:id="rId12" w:type="default"/>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MS Mincho">
    <w:altName w:val="Yu Gothic"/>
    <w:panose1 w:val="02020609040205080304"/>
    <w:charset w:val="80"/>
    <w:family w:val="moder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1AD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55E">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D55E">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C6D"/>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3E0EA6"/>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7606A5A"/>
    <w:rsid w:val="187F5606"/>
    <w:rsid w:val="1D95247B"/>
    <w:rsid w:val="1DEB6009"/>
    <w:rsid w:val="1F4A70FD"/>
    <w:rsid w:val="200E40BC"/>
    <w:rsid w:val="2099237C"/>
    <w:rsid w:val="21E12E8E"/>
    <w:rsid w:val="228D3E7A"/>
    <w:rsid w:val="246A441E"/>
    <w:rsid w:val="247A76EA"/>
    <w:rsid w:val="25432329"/>
    <w:rsid w:val="25E42FB4"/>
    <w:rsid w:val="26AD1FB3"/>
    <w:rsid w:val="26E72CF4"/>
    <w:rsid w:val="27BC1FA7"/>
    <w:rsid w:val="283332DA"/>
    <w:rsid w:val="289C4798"/>
    <w:rsid w:val="290047DB"/>
    <w:rsid w:val="291F0542"/>
    <w:rsid w:val="294D78C7"/>
    <w:rsid w:val="29BB5003"/>
    <w:rsid w:val="2CBE44F7"/>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98048E2"/>
    <w:rsid w:val="3B00217F"/>
    <w:rsid w:val="3C053706"/>
    <w:rsid w:val="3C425A6B"/>
    <w:rsid w:val="3C842FA3"/>
    <w:rsid w:val="3E0B2DFF"/>
    <w:rsid w:val="3E511436"/>
    <w:rsid w:val="3EA42E61"/>
    <w:rsid w:val="3F122481"/>
    <w:rsid w:val="41E714BD"/>
    <w:rsid w:val="42CA554C"/>
    <w:rsid w:val="454848B8"/>
    <w:rsid w:val="459B31D0"/>
    <w:rsid w:val="462D2C94"/>
    <w:rsid w:val="46731392"/>
    <w:rsid w:val="47FE103D"/>
    <w:rsid w:val="48147269"/>
    <w:rsid w:val="48926E17"/>
    <w:rsid w:val="493868A9"/>
    <w:rsid w:val="49E625A7"/>
    <w:rsid w:val="4A4E5BB5"/>
    <w:rsid w:val="4A9F11A1"/>
    <w:rsid w:val="4AF56684"/>
    <w:rsid w:val="4C1B1639"/>
    <w:rsid w:val="4DD54DA5"/>
    <w:rsid w:val="4E3C7A50"/>
    <w:rsid w:val="4F5A5E19"/>
    <w:rsid w:val="4F66583F"/>
    <w:rsid w:val="509B0528"/>
    <w:rsid w:val="527267F2"/>
    <w:rsid w:val="55067F3A"/>
    <w:rsid w:val="553D7E00"/>
    <w:rsid w:val="555B2034"/>
    <w:rsid w:val="558F5D5E"/>
    <w:rsid w:val="55E31AFA"/>
    <w:rsid w:val="56142799"/>
    <w:rsid w:val="56523435"/>
    <w:rsid w:val="57C40382"/>
    <w:rsid w:val="588C0F63"/>
    <w:rsid w:val="58B959EF"/>
    <w:rsid w:val="590961FC"/>
    <w:rsid w:val="5ADA376B"/>
    <w:rsid w:val="5B0E5A1D"/>
    <w:rsid w:val="5B2B4256"/>
    <w:rsid w:val="5D0968B1"/>
    <w:rsid w:val="5D156F6C"/>
    <w:rsid w:val="5D7879F0"/>
    <w:rsid w:val="5EB7760C"/>
    <w:rsid w:val="5F0759F1"/>
    <w:rsid w:val="62130050"/>
    <w:rsid w:val="6242450E"/>
    <w:rsid w:val="62A849B5"/>
    <w:rsid w:val="67236729"/>
    <w:rsid w:val="693966D8"/>
    <w:rsid w:val="6A975974"/>
    <w:rsid w:val="6A991B4E"/>
    <w:rsid w:val="6B9D229A"/>
    <w:rsid w:val="6E0D32E8"/>
    <w:rsid w:val="6E426D96"/>
    <w:rsid w:val="6EB16D05"/>
    <w:rsid w:val="6F3C104B"/>
    <w:rsid w:val="6F77137F"/>
    <w:rsid w:val="718F134F"/>
    <w:rsid w:val="719647CC"/>
    <w:rsid w:val="72596DDD"/>
    <w:rsid w:val="72BB3A37"/>
    <w:rsid w:val="73D17C39"/>
    <w:rsid w:val="74FC77C0"/>
    <w:rsid w:val="75D829C3"/>
    <w:rsid w:val="76713F77"/>
    <w:rsid w:val="79B53B59"/>
    <w:rsid w:val="7AF0771F"/>
    <w:rsid w:val="7BF94115"/>
    <w:rsid w:val="7C8C3866"/>
    <w:rsid w:val="7CB974BC"/>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6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69">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59"/>
    <w:autoRedefine/>
    <w:qFormat/>
    <w:uiPriority w:val="0"/>
    <w:pPr>
      <w:numPr>
        <w:ilvl w:val="0"/>
        <w:numId w:val="3"/>
      </w:numPr>
      <w:ind w:firstLine="0" w:firstLineChars="0"/>
    </w:pPr>
  </w:style>
  <w:style w:type="paragraph" w:customStyle="1" w:styleId="72">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59"/>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kern w:val="2"/>
      <w:sz w:val="21"/>
      <w:szCs w:val="21"/>
    </w:rPr>
  </w:style>
  <w:style w:type="paragraph" w:customStyle="1" w:styleId="91">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59"/>
    <w:next w:val="59"/>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59"/>
    <w:autoRedefine/>
    <w:qFormat/>
    <w:uiPriority w:val="0"/>
    <w:pPr>
      <w:spacing w:line="460" w:lineRule="exact"/>
      <w:ind w:left="0" w:firstLine="0"/>
    </w:pPr>
  </w:style>
  <w:style w:type="paragraph" w:customStyle="1" w:styleId="95">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8"/>
    <w:next w:val="69"/>
    <w:autoRedefine/>
    <w:qFormat/>
    <w:uiPriority w:val="0"/>
    <w:pPr>
      <w:widowControl/>
      <w:numPr>
        <w:ilvl w:val="4"/>
      </w:numPr>
      <w:outlineLvl w:val="3"/>
    </w:pPr>
  </w:style>
  <w:style w:type="character" w:customStyle="1" w:styleId="99">
    <w:name w:val="Subtle Reference"/>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9"/>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59"/>
    <w:autoRedefine/>
    <w:qFormat/>
    <w:uiPriority w:val="0"/>
    <w:pPr>
      <w:outlineLvl w:val="4"/>
    </w:pPr>
  </w:style>
  <w:style w:type="paragraph" w:customStyle="1" w:styleId="134">
    <w:name w:val="附录四级无标题条"/>
    <w:basedOn w:val="133"/>
    <w:next w:val="59"/>
    <w:autoRedefine/>
    <w:qFormat/>
    <w:uiPriority w:val="0"/>
    <w:pPr>
      <w:outlineLvl w:val="5"/>
    </w:pPr>
  </w:style>
  <w:style w:type="paragraph" w:customStyle="1" w:styleId="135">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59"/>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59"/>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59"/>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8"/>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59"/>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59"/>
    <w:autoRedefine/>
    <w:qFormat/>
    <w:uiPriority w:val="0"/>
    <w:pPr>
      <w:ind w:firstLine="0" w:firstLineChars="0"/>
      <w:jc w:val="center"/>
    </w:pPr>
    <w:rPr>
      <w:sz w:val="18"/>
    </w:rPr>
  </w:style>
  <w:style w:type="paragraph" w:customStyle="1" w:styleId="183">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59"/>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59"/>
    <w:autoRedefine/>
    <w:qFormat/>
    <w:uiPriority w:val="0"/>
    <w:rPr>
      <w:rFonts w:ascii="宋体" w:hAnsi="Times New Roman"/>
      <w:sz w:val="21"/>
    </w:rPr>
  </w:style>
  <w:style w:type="paragraph" w:customStyle="1" w:styleId="189">
    <w:name w:val="标准文件_表格续"/>
    <w:basedOn w:val="59"/>
    <w:next w:val="59"/>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59"/>
    <w:autoRedefine/>
    <w:qFormat/>
    <w:uiPriority w:val="0"/>
    <w:pPr>
      <w:numPr>
        <w:ilvl w:val="1"/>
        <w:numId w:val="21"/>
      </w:numPr>
      <w:ind w:firstLine="0" w:firstLineChars="0"/>
    </w:pPr>
  </w:style>
  <w:style w:type="paragraph" w:customStyle="1" w:styleId="192">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3">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4">
    <w:name w:val="标准文件_提示"/>
    <w:basedOn w:val="59"/>
    <w:next w:val="59"/>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59"/>
    <w:autoRedefine/>
    <w:qFormat/>
    <w:uiPriority w:val="0"/>
    <w:pPr>
      <w:ind w:left="811" w:firstLine="0" w:firstLineChars="0"/>
    </w:pPr>
    <w:rPr>
      <w:sz w:val="18"/>
    </w:rPr>
  </w:style>
  <w:style w:type="paragraph" w:customStyle="1" w:styleId="210">
    <w:name w:val="标准文件_注X后"/>
    <w:basedOn w:val="59"/>
    <w:autoRedefine/>
    <w:qFormat/>
    <w:uiPriority w:val="0"/>
    <w:pPr>
      <w:ind w:left="811" w:firstLine="0" w:firstLineChars="0"/>
    </w:pPr>
    <w:rPr>
      <w:sz w:val="18"/>
    </w:rPr>
  </w:style>
  <w:style w:type="paragraph" w:customStyle="1" w:styleId="211">
    <w:name w:val="标准文件_示例后"/>
    <w:basedOn w:val="59"/>
    <w:autoRedefine/>
    <w:qFormat/>
    <w:uiPriority w:val="0"/>
    <w:pPr>
      <w:ind w:left="964" w:firstLine="0" w:firstLineChars="0"/>
    </w:pPr>
    <w:rPr>
      <w:sz w:val="18"/>
    </w:rPr>
  </w:style>
  <w:style w:type="paragraph" w:customStyle="1" w:styleId="212">
    <w:name w:val="标准文件_示例X后"/>
    <w:basedOn w:val="59"/>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59"/>
    <w:next w:val="59"/>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59"/>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59"/>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6"/>
    <w:next w:val="59"/>
    <w:autoRedefine/>
    <w:qFormat/>
    <w:uiPriority w:val="0"/>
    <w:rPr>
      <w:rFonts w:hAnsi="黑体"/>
    </w:rPr>
  </w:style>
  <w:style w:type="paragraph" w:customStyle="1" w:styleId="226">
    <w:name w:val="标准文件_脚注内容"/>
    <w:basedOn w:val="59"/>
    <w:autoRedefine/>
    <w:qFormat/>
    <w:uiPriority w:val="0"/>
    <w:pPr>
      <w:ind w:left="400" w:leftChars="200" w:hanging="200" w:hangingChars="200"/>
    </w:pPr>
    <w:rPr>
      <w:sz w:val="15"/>
    </w:rPr>
  </w:style>
  <w:style w:type="paragraph" w:customStyle="1" w:styleId="227">
    <w:name w:val="标准文件_术语条一"/>
    <w:basedOn w:val="166"/>
    <w:next w:val="59"/>
    <w:autoRedefine/>
    <w:qFormat/>
    <w:uiPriority w:val="0"/>
  </w:style>
  <w:style w:type="paragraph" w:customStyle="1" w:styleId="228">
    <w:name w:val="标准文件_术语条二"/>
    <w:basedOn w:val="169"/>
    <w:next w:val="59"/>
    <w:autoRedefine/>
    <w:qFormat/>
    <w:uiPriority w:val="0"/>
  </w:style>
  <w:style w:type="paragraph" w:customStyle="1" w:styleId="229">
    <w:name w:val="标准文件_术语条三"/>
    <w:basedOn w:val="168"/>
    <w:next w:val="59"/>
    <w:autoRedefine/>
    <w:qFormat/>
    <w:uiPriority w:val="0"/>
  </w:style>
  <w:style w:type="paragraph" w:customStyle="1" w:styleId="230">
    <w:name w:val="标准文件_术语条四"/>
    <w:basedOn w:val="171"/>
    <w:next w:val="59"/>
    <w:autoRedefine/>
    <w:qFormat/>
    <w:uiPriority w:val="0"/>
  </w:style>
  <w:style w:type="paragraph" w:customStyle="1" w:styleId="231">
    <w:name w:val="标准文件_术语条五"/>
    <w:basedOn w:val="167"/>
    <w:next w:val="59"/>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paragraph" w:customStyle="1" w:styleId="234">
    <w:name w:val="Table Text"/>
    <w:basedOn w:val="1"/>
    <w:autoRedefine/>
    <w:semiHidden/>
    <w:qFormat/>
    <w:uiPriority w:val="0"/>
    <w:rPr>
      <w:rFonts w:ascii="宋体" w:hAnsi="宋体" w:eastAsia="宋体" w:cs="宋体"/>
      <w:sz w:val="21"/>
      <w:szCs w:val="21"/>
      <w:lang w:val="en-US" w:eastAsia="en-US" w:bidi="ar-SA"/>
    </w:rPr>
  </w:style>
  <w:style w:type="table" w:customStyle="1" w:styleId="235">
    <w:name w:val="Table Normal"/>
    <w:autoRedefine/>
    <w:semiHidden/>
    <w:unhideWhenUsed/>
    <w:qFormat/>
    <w:uiPriority w:val="0"/>
    <w:tblPr>
      <w:tblCellMar>
        <w:top w:w="0" w:type="dxa"/>
        <w:left w:w="0" w:type="dxa"/>
        <w:bottom w:w="0" w:type="dxa"/>
        <w:right w:w="0" w:type="dxa"/>
      </w:tblCellMar>
    </w:tblPr>
  </w:style>
  <w:style w:type="paragraph" w:customStyle="1" w:styleId="236">
    <w:name w:val="终结线"/>
    <w:basedOn w:val="1"/>
    <w:autoRedefine/>
    <w:qFormat/>
    <w:uiPriority w:val="0"/>
    <w:pPr>
      <w:framePr w:hSpace="181" w:vSpace="181" w:wrap="around" w:vAnchor="text" w:hAnchor="margin" w:xAlign="center" w:y="285"/>
    </w:pPr>
  </w:style>
  <w:style w:type="paragraph" w:customStyle="1" w:styleId="237">
    <w:name w:val="附录标识"/>
    <w:basedOn w:val="1"/>
    <w:next w:val="238"/>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8">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9">
    <w:name w:val="附录章标题"/>
    <w:next w:val="238"/>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40">
    <w:name w:val="参考文献"/>
    <w:basedOn w:val="1"/>
    <w:next w:val="2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1">
    <w:name w:val="二级无"/>
    <w:basedOn w:val="242"/>
    <w:autoRedefine/>
    <w:qFormat/>
    <w:uiPriority w:val="0"/>
    <w:pPr>
      <w:ind w:left="1843"/>
    </w:pPr>
    <w:rPr>
      <w:rFonts w:ascii="宋体"/>
    </w:rPr>
  </w:style>
  <w:style w:type="paragraph" w:customStyle="1" w:styleId="242">
    <w:name w:val="二级条标题"/>
    <w:basedOn w:val="243"/>
    <w:next w:val="238"/>
    <w:autoRedefine/>
    <w:qFormat/>
    <w:uiPriority w:val="0"/>
    <w:pPr>
      <w:spacing w:before="50" w:after="50"/>
      <w:outlineLvl w:val="3"/>
    </w:pPr>
  </w:style>
  <w:style w:type="paragraph" w:customStyle="1" w:styleId="243">
    <w:name w:val="一级条标题"/>
    <w:basedOn w:val="1"/>
    <w:next w:val="238"/>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1066</Words>
  <Characters>1614</Characters>
  <Lines>45</Lines>
  <Paragraphs>12</Paragraphs>
  <TotalTime>0</TotalTime>
  <ScaleCrop>false</ScaleCrop>
  <LinksUpToDate>false</LinksUpToDate>
  <CharactersWithSpaces>1740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游钦凉</cp:lastModifiedBy>
  <cp:lastPrinted>2025-01-06T08:01:00Z</cp:lastPrinted>
  <dcterms:modified xsi:type="dcterms:W3CDTF">2025-11-03T06:16:38Z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eyJoZGlkIjoiOGJiZDQ3NTUxYzk2NzFhNWU2ZmZjYTdjODFmMmUyYzUiLCJ1c2VySWQiOiIxNTY4NTU3MDQ2In0=</vt:lpwstr>
  </property>
</Properties>
</file>