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6138"/>
      <w:bookmarkStart w:id="1" w:name="_Toc499110426"/>
      <w:bookmarkStart w:id="2" w:name="_Toc309995390"/>
      <w:bookmarkStart w:id="3" w:name="_Toc298923383"/>
      <w:bookmarkStart w:id="4" w:name="_Toc298937201"/>
      <w:bookmarkStart w:id="5" w:name="_Toc309995578"/>
      <w:bookmarkStart w:id="6" w:name="_Toc298937152"/>
      <w:bookmarkStart w:id="7" w:name="_Toc309995999"/>
      <w:bookmarkStart w:id="8" w:name="_Toc298937100"/>
      <w:bookmarkStart w:id="9" w:name="_Toc298937609"/>
      <w:bookmarkStart w:id="10" w:name="_Toc304825081"/>
      <w:bookmarkStart w:id="11" w:name="_Toc304825008"/>
      <w:bookmarkStart w:id="12" w:name="_Toc309997040"/>
      <w:bookmarkStart w:id="13" w:name="_Toc298937419"/>
      <w:bookmarkStart w:id="14" w:name="_Toc309995472"/>
      <w:bookmarkStart w:id="15" w:name="_Toc298937276"/>
      <w:bookmarkStart w:id="16" w:name="_Toc298937462"/>
      <w:bookmarkStart w:id="17" w:name="_Toc310002637"/>
      <w:bookmarkStart w:id="18" w:name="_Toc298938783"/>
      <w:bookmarkStart w:id="19" w:name="_Toc304402664"/>
      <w:bookmarkStart w:id="20" w:name="_Toc309994551"/>
      <w:bookmarkStart w:id="21" w:name="_Toc298936924"/>
      <w:bookmarkStart w:id="22" w:name="_Toc309993180"/>
      <w:bookmarkStart w:id="23" w:name="_Toc298937167"/>
      <w:bookmarkStart w:id="24" w:name="_Toc298937357"/>
      <w:bookmarkStart w:id="25" w:name="_Toc298938635"/>
      <w:bookmarkStart w:id="26" w:name="_Toc298937322"/>
      <w:bookmarkStart w:id="27" w:name="_Toc298937188"/>
      <w:bookmarkStart w:id="28" w:name="_Toc304828066"/>
      <w:bookmarkStart w:id="29" w:name="_Toc298936801"/>
      <w:bookmarkStart w:id="30" w:name="_Toc304824969"/>
      <w:bookmarkStart w:id="31" w:name="_Toc37234703"/>
    </w:p>
    <w:p w14:paraId="789843A6">
      <w:pPr>
        <w:pStyle w:val="143"/>
        <w:numPr>
          <w:ilvl w:val="0"/>
          <w:numId w:val="0"/>
        </w:numPr>
        <w:spacing w:before="312" w:after="312" w:line="240" w:lineRule="auto"/>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《建筑电气施工及谐波抑制电能质量优化技术规范》</w:t>
      </w:r>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2025年10月20日，中国西部开发促进会发布《建筑电气施工及谐波抑制电能质量优化技术规范》团体标准立项通知,开展团体标准的编制工作。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建筑电气施工及谐波抑制电能质量优化技术规范》的编制，旨在系统性地应对现代建筑中因非线性负载激增而导致的谐波污染与电能质量恶化问题。其核心目的是通过规范电气施工的全过程工艺标准，并明确谐波抑制与电能质量优化的技术要求，为设计、施工、验收及运维环节提供统一的技术依据，从而从源头保障建筑电气系统的安全、稳定与高效运行。</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本规范具有重要的技术引领与标准完善意义。它将分散的施工经验与新兴治理技术整合提升为行业通用准则，推动建筑电气从传统的“通电能用”向高质量的“洁净用电”转型升级，填补了当前标准体系中从单一设备要求到整体系统集成优化之间的空白，为提升建筑智能化水平与综合品质奠定了坚实基础。</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7813841">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建筑领域谐波污染日益加剧，变频空调、LED照明、电动汽车充电桩等设备的广泛应用导致电网波形畸变、设备过热及能耗增加等问题频发，对医院、数据中心等关键场所的可靠运行构成威胁。在此背景下，本规范的出台是保障电力系统与敏感设备安全、有效预防电气火灾及设备故障的迫切需要。</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从经济效益与社会效益看，本规范通过指导谐波治理与能效提升技术的应用，可直接降低线路损耗与设备容量虚增，是实现建筑领域节能减排、服务国家“双碳”目标的重要技术路径。同时，该标准也有助于厘清各方在电能质量纠纷中的责任边界，促进建筑电气行业健康有序发展，具有显著的经济性和社会必要性。</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由浙江力邦电气有限公司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7A380EDA">
      <w:pPr>
        <w:pStyle w:val="30"/>
        <w:numPr>
          <w:ilvl w:val="0"/>
          <w:numId w:val="0"/>
        </w:numPr>
        <w:ind w:leftChars="0"/>
        <w:jc w:val="center"/>
        <w:rPr>
          <w:rFonts w:hint="eastAsia" w:ascii="仿宋" w:hAnsi="仿宋" w:eastAsia="仿宋" w:cs="仿宋"/>
          <w:sz w:val="21"/>
          <w:szCs w:val="21"/>
          <w:lang w:val="en-US" w:eastAsia="zh-CN"/>
        </w:rPr>
      </w:pPr>
    </w:p>
    <w:p w14:paraId="4D0E2EAE">
      <w:pPr>
        <w:pStyle w:val="30"/>
        <w:numPr>
          <w:ilvl w:val="0"/>
          <w:numId w:val="0"/>
        </w:numPr>
        <w:ind w:leftChars="0"/>
        <w:jc w:val="center"/>
        <w:rPr>
          <w:rFonts w:hint="eastAsia" w:ascii="仿宋" w:hAnsi="仿宋" w:eastAsia="仿宋" w:cs="仿宋"/>
          <w:sz w:val="21"/>
          <w:szCs w:val="21"/>
          <w:lang w:val="en-US" w:eastAsia="zh-CN"/>
        </w:rPr>
      </w:pPr>
    </w:p>
    <w:p w14:paraId="3A15C664">
      <w:pPr>
        <w:pStyle w:val="30"/>
        <w:numPr>
          <w:ilvl w:val="0"/>
          <w:numId w:val="0"/>
        </w:numPr>
        <w:ind w:leftChars="0"/>
        <w:jc w:val="center"/>
        <w:rPr>
          <w:rFonts w:hint="eastAsia" w:ascii="仿宋" w:hAnsi="仿宋" w:eastAsia="仿宋" w:cs="仿宋"/>
          <w:sz w:val="21"/>
          <w:szCs w:val="21"/>
          <w:lang w:val="en-US" w:eastAsia="zh-CN"/>
        </w:rPr>
      </w:pPr>
      <w:bookmarkStart w:id="56" w:name="_GoBack"/>
      <w:bookmarkEnd w:id="56"/>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浙江力邦电气有限公司等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建筑电气、电能质量及谐波治理相关的国家标准、行业标准及国际标准，调研现代建筑中非线性负载的分布特征、谐波污染现状、电能质量问题及其对建筑电气系统安全与能效的影响。通过实地考察典型建筑项目、发放行业问卷以及组织专家研讨，深入分析当前在电气施工、谐波抑制与电能质量管理中存在的技术短板、管理盲区及标准化缺口，形成全面详实的调研分析报告，为后续标准编制提供事实与数据支撑。</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充分调研的基础上，明确《建筑电气施工及谐波抑制电能质量优化技术规范》的编制范围与核心内容，重点规定从设计、施工到验收、运维全过程的电气安装工艺、谐波发射限值、抑制设备选型与安装、电能质量监测与评估等关键技术要求。编制完整的立项申请书及相关论证材料，提交至归口的团体标准管理机构，经可行性及必要性评审通过后，完成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组建由建筑设计单位、施工企业、电气设备制造商、电力科研院所及行业协会专家共同参与的标准起草工作组。依据GB/T 1.1《标准化工作导则》的规则，结合前期调研成果与行业最佳实践，搭建标准整体结构，并逐章逐节细化技术内容，涵盖总则、术语、施工工艺规范、谐波限值与测试方法、滤波与补偿装置应用、接地与屏蔽措施、系统调试与验收、运行维护管理等核心章节，完成标准草案的初稿编写，并组织内部多轮讨论与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行业协会官方网站、行业媒体、技术论坛等渠道，向社会公开征求意见，定向发送至相关的建筑设计院、施工总包单位、机电安装公司、物业运维管理单位、质量监督机构及资深专家。对回收的全部反馈意见进行系统整理、归纳与分析，召开工作组会议对合理建议予以采纳，并对标准草案进行针对性修改与优化，形成标准征求意见稿及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提出的谐波测量、抑制技术及电能质量优化措施均基于成熟的电工理论及现行国家标准。通过对电压总谐波畸变率、各次谐波含有率等关键参数设定明确限值，并规定测量点布置、仪器精度、采样率及连续测量时间等具体要求，为工程验证提供了可操作、可复现的试验依据。验收标准中明确的性能指标（如电压畸变率不大于4%、功率因数不低于0.95）及设备技术参数（如有源滤波器响应时间≤100μs、补偿精度≥95%），进一步确保了治理效果的可检验性与可靠性。</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系统性地构建了建筑电气系统谐波治理与电能质量优化的技术体系，涵盖基本要求、测量评估、抑制技术、优化措施、检测验收、设备选型、系统集成及能效经济性分析等全流程。其内容全面、结构清晰，融合了无源、有源及混合滤波等主流技术，并兼顾电压调节、无功补偿与三相不平衡治理，具有较强的先进性与适用性，为新建、改建及扩建建筑电气工程提供了统一、规范的技术指引。</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层面，规范推荐的技术路线成熟可靠，治理目标明确，设备选型与系统设计参数具体，具备较强的工程可行性。经济性方面，尽管谐波治理与电能优化装置需投入一定成本，但规范中明确要求投资回收期不超过5年、内部收益率不低于12%，并通过线损降低（10–25%）、变压器利用率提升（15–30%）及设备寿命延长（20–40%）等能效收益，有效保障了项目的经济合理性，实现了技术投入与长期节能降耗之间的平衡。</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实施本规范可显著降低建筑电气系统因谐波污染导致的额外线损与设备发热损耗，提升供电效率与变压器带载能力，直接减少运行电费。同时，通过提高功率因数、抑制电压畸变，可延长用电设备寿命，降低故障率与维护成本，整体提升建筑能源管理水平与经济效益。规范中设定的能效指标与成本控制目标，为项目投资与节能收益提供了明确的预期。</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的实施有助于提升建筑供电系统的安全稳定性，减少因电能质量问题引发的设备故障和停电风险，保障医院、数据中心等重要负荷的可靠运行，具有显著的社会效益。在生态方面，通过谐波治理与能效提升，可降低无效电能损耗，减少电力系统整体碳排放，符合绿色建筑与可持续发展要求，对推动建筑领域节能降耗、实现“双碳”目标具有积极意义。</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4884219"/>
      <w:bookmarkStart w:id="36" w:name="_Toc17233334"/>
      <w:bookmarkStart w:id="37" w:name="_Toc17233326"/>
      <w:bookmarkStart w:id="38" w:name="_Toc24884212"/>
      <w:bookmarkStart w:id="39" w:name="_Toc26648466"/>
      <w:r>
        <w:rPr>
          <w:rFonts w:hint="eastAsia" w:ascii="仿宋" w:hAnsi="仿宋" w:eastAsia="仿宋" w:cs="仿宋"/>
          <w:sz w:val="21"/>
          <w:szCs w:val="21"/>
          <w:lang w:val="en-US" w:eastAsia="zh-CN"/>
        </w:rPr>
        <w:t>本章明确了标准的适用范围，规定了建筑电气系统谐波抑制与电能质量优化的基本要求、测量评估、抑制技术、优化措施、检测验收等内容，适用于新建、改建和扩建的民用建筑与一般工业建筑电气系统。</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718931"/>
      <w:bookmarkStart w:id="41" w:name="_Toc26986772"/>
      <w:bookmarkStart w:id="42" w:name="_Toc26986531"/>
      <w:bookmarkStart w:id="43" w:name="_Toc97192965"/>
      <w:bookmarkStart w:id="44" w:name="_Toc11915"/>
      <w:bookmarkStart w:id="45" w:name="_Toc11328259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562E7EA2">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12325 电能质量 供电电压偏差</w:t>
      </w:r>
    </w:p>
    <w:p w14:paraId="7E8F47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GB/T 14549 电能质量 公用电网谐波</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97192966"/>
      <w:bookmarkStart w:id="48" w:name="_Toc113282592"/>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对标准中使用的关键术语进行了定义，包括谐波、谐波含有率、总谐波畸变率、电能质量、有源滤波器等，为后续内容提供统一的术语基础。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要求</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规定了建筑电气系统谐波抑制与电能质量优化的基本原则，包括预防为主、技术先进、运行可靠、经济合理等，并提出了监测系统建立、装置选型、保护功能等通用要求。</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谐波测量与评估</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详细规定了谐波测量的点位布置、仪器精度、测量周期和数据类型等要求，明确了谐波水平评估方法、限值标准以及治理必要性判断依据。</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谐波抑制技术</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系统介绍了无源滤波、有源滤波和混合滤波三种主流谐波抑制技术的设计原则、参数计算、安装要求和控制策略，提供了具体的技术指标。</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电能质量优化措施</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从电压质量优化、无功补偿和三相不平衡治理三个方面提出了具体的技术措施和要求，包括装置选型、控制方式和性能指标等。</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8.检测与验收</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规定了系统检测的项目、方法、仪器要求和数据管理，明确了验收的性能指标、功能要求和安全标准，并提出了运行维护的具体要求。</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设备选型与配置</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详细规定了谐波抑制设备和电能质量优化设备的技术参数、性能指标和使用环境要求，为设备选型提供了具体依据。</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系统设计与集成</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从系统架构和控制系统两个方面提出了治理系统的设计原则，包括治理方式选择、容量配置、控制策略和通信要求等。</w:t>
      </w:r>
    </w:p>
    <w:p w14:paraId="44B474AB">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11.能效与经济性分析</w:t>
      </w:r>
    </w:p>
    <w:p w14:paraId="7476BA0C">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提供了能效评估的具体指标和经济性分析的标准，包括线损降低、设备寿命延长、投资回收期、内部收益率等关键参数。</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1F3C63CC"/>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A23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5203</Words>
  <Characters>5381</Characters>
  <Lines>17</Lines>
  <Paragraphs>4</Paragraphs>
  <TotalTime>4</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2025-11-03T04:57:47Z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A226EE0612A5447DB911C174FB37A047_13</vt:lpwstr>
  </property>
  <property fmtid="{D5CDD505-2E9C-101B-9397-08002B2CF9AE}" pid="4" name="KSOTemplateDocerSaveRecord">
    <vt:lpwstr>eyJoZGlkIjoiMzEwNTM5NzYwMDRjMzkwZTVkZjY2ODkwMGIxNGU0OTUiLCJ1c2VySWQiOiI1OTM0Mzk3OTEifQ==</vt:lpwstr>
  </property>
</Properties>
</file>