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4825081"/>
      <w:bookmarkStart w:id="1" w:name="_Toc298937201"/>
      <w:bookmarkStart w:id="2" w:name="_Toc304825008"/>
      <w:bookmarkStart w:id="3" w:name="_Toc6138"/>
      <w:bookmarkStart w:id="4" w:name="_Toc309995390"/>
      <w:bookmarkStart w:id="5" w:name="_Toc309995472"/>
      <w:bookmarkStart w:id="6" w:name="_Toc309994551"/>
      <w:bookmarkStart w:id="7" w:name="_Toc298937152"/>
      <w:bookmarkStart w:id="8" w:name="_Toc309995999"/>
      <w:bookmarkStart w:id="9" w:name="_Toc298937100"/>
      <w:bookmarkStart w:id="10" w:name="_Toc298923383"/>
      <w:bookmarkStart w:id="11" w:name="_Toc309995578"/>
      <w:bookmarkStart w:id="12" w:name="_Toc298937609"/>
      <w:bookmarkStart w:id="13" w:name="_Toc298937276"/>
      <w:bookmarkStart w:id="14" w:name="_Toc309997040"/>
      <w:bookmarkStart w:id="15" w:name="_Toc310002637"/>
      <w:bookmarkStart w:id="16" w:name="_Toc298937462"/>
      <w:bookmarkStart w:id="17" w:name="_Toc298937167"/>
      <w:bookmarkStart w:id="18" w:name="_Toc298938783"/>
      <w:bookmarkStart w:id="19" w:name="_Toc309993180"/>
      <w:bookmarkStart w:id="20" w:name="_Toc499110426"/>
      <w:bookmarkStart w:id="21" w:name="_Toc298936924"/>
      <w:bookmarkStart w:id="22" w:name="_Toc298937419"/>
      <w:bookmarkStart w:id="23" w:name="_Toc304828066"/>
      <w:bookmarkStart w:id="24" w:name="_Toc298937357"/>
      <w:bookmarkStart w:id="25" w:name="_Toc298936801"/>
      <w:bookmarkStart w:id="26" w:name="_Toc37234703"/>
      <w:bookmarkStart w:id="27" w:name="_Toc298937322"/>
      <w:bookmarkStart w:id="28" w:name="_Toc304402664"/>
      <w:bookmarkStart w:id="29" w:name="_Toc298937188"/>
      <w:bookmarkStart w:id="30" w:name="_Toc304824969"/>
      <w:bookmarkStart w:id="31" w:name="_Toc298938635"/>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《量子-经典混合计算平台互操作接口规范》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2025年10月20日，中国西部开发促进会发布《量子-经典混合计算平台互操作接口规范》团体标准立项通知,开展团体标准的编制工作。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量子-经典混合计算平台互操作接口规范》的核心目的，是为当前多样化的量子硬件与经典计算系统之间建立一套统一、高效的“对话”规则。随着量子计算步入混合架构时代，即由经典计算机负责整体流程控制和复杂预处理，而量子处理器专注于执行特定的核心计算任务，两者之间能否无缝协作已成为技术走向实用的关键。该规范旨在明确界定它们在任务调度、指令传递、数据交换等层面的交互方式，从而打破因技术路线各异导致的“软硬件孤岛”局面。</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该标准的意义在于为整个量子计算产业生态的构建奠定基石。一个公开、统一的接口规范能够极大地降低开发者的学习和应用门槛，使其无需针对不同厂商的量子计算机重复开发适配层，从而将精力集中于算法与应用创新。这如同为计算机硬件建立了USB或PCI-E标准，将催生一个专注于软件、算法和行业应用的繁荣生态，加速量子计算从实验室研究向解决实际问题的生产力工具转化。</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必要性源于当前量子计算领域日益严重的碎片化现状以及混合计算范式成为主流的必然趋势。没有这样的标准，每家硬件厂商都将维持其封闭的技术栈，导致用户被锁定、资源难以共享、应用难以迁移，这会严重制约整个产业的发展速度和规模。统一接口是实现量子计算资源高效利用、保护用户长期投资、并最终释放混合计算巨大潜力的先决条件。这不仅是一个技术规范，更是引导产业走出混乱、走向规模化商业应用的战略必需品。</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由浙江智晟科技有限公司杭州分公司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浙江智晟科技有限公司杭州分公司等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量子计算硬件平台、软件栈及混合计算架构的相关技术标准、研究论文与产业报告，重点调研超导、离子阱、光量子等不同技术路线的系统架构、控制方式及编程接口现状。通过实地考察量子计算研发机构、与企业及科研用户进行问卷和深度访谈，深入分析当前量子-经典混合计算在任务调度、指令转换、数据传递、结果反馈等环节存在的互操作性瓶颈与标准化缺失问题，形成全面的技术现状与需求调研分析报告，为标准编制奠定坚实基础。</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前期调研结论，明确《量子-经典混合计算平台互操作接口规范》的标准范围与核心内容，界定其在量子硬件抽象层、任务描述格式、混合编程模型、数据交换协议及系统协同控制等方面的技术要求。编制详细的立项建议书与标准草案大纲，阐述其对于构建产业生态、促进技术落地的必要性与预期效益，提交至相关标准化技术委员会。经专家组审议论证通过后，予以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组建由量子硬件制造商、经典计算厂商、软件开发企业、顶尖科研院所及应用单位专家共同参与的标准起草工作组。依据GB/T 1.1《标准化工作导则》的要求，构建标准整体框架。工作组结合技术发展趋势与产业实践需求，深入研讨并细化量子计算任务描述语言、运行时接口、数据格式、状态监控、错误管理等关键技术条款。在形成标准草案初稿后，组织工作组内部多轮讨论与修改，确保技术内容的先进性、适用性与协调性。</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标准化组织官网、行业权威媒体及专业会议等渠道，向社会公开征求意见，同时定向发送给主要的量子计算企业、高校研究团队、重点行业用户及投资机构。广泛收集关于接口定义的完备性、技术实现的可行性、与现有技术的兼容性等方面的反馈。起草工作组对征集到的意见进行逐条梳理、分析论证和妥善处理，在此基础上对标准草案进行实质性修改与完善，形成标准征求意见稿及详细的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试验验证的分析应围绕标准中定义的互操作接口通用原则、接口要求及安全运维要求展开系统性测试。验证工作需搭建涵盖不同技术路线量子硬件与经典计算框架的混合平台，针对接口的声明式编程模型、异步通信模式及能力发现机制进行功能性验证，确保任务提交响应时间、版本兼容性等关键指标符合规范。同时，需对接口的数据格式一致性、跨平台互操作能力及传输安全性进行压力测试与渗透测试，以评估标准在实际异构环境中的适用性与鲁棒性，为标准的完善与落地提供实证依据。</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该规范是国内首个针对量子-经典混合计算平台互操作接口的团体标准，具有重要的技术引领与产业整合意义。标准明确了混合计算平台的架构、接口设计原则、协议数据格式及全生命周期管理要求，为量子硬件提供商、软件开发商及云服务商提供了统一的技术对接框架。其出台将有效解决当前混合计算领域因接口不统一导致的应用开发难、系统集成成本高、生态封闭等问题，为构建开放协同的量子计算产业生态奠定基础。</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经济角度论证，本标准所提出的接口技术要求基于成熟的经典计算与网络通信理念，具备较强的工程可行性与实施基础。尽管量子计算仍处于发展初期，但提前进行接口标准化有助于降低后续技术迭代与系统集成的长期成本。通过统一接口规范，可避免企业因技术路线绑定而产生的重复投入与沉没成本，推动形成专业分工、协同创新的产业发展模式，具备显著的经济合理性。</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经济效益方面，本标准的实施将显著降低量子-经典混合计算系统的开发、集成与运维成本，加速量子计算从实验室原型向实用化平台的转化。统一的接口标准有助于培育第三方工具链、算法库及应用服务市场，形成新的产业增长点。对于用户而言，可基于标准接口灵活选用不同后端的量子资源，避免供应商锁定，提升投资效益，同时推动量子计算在药物研发、材料模拟、金融建模等领域的早期应用与价值创造。</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社会与生态效益层面，本标准通过推动量子计算资源的开放共享，有助于缩小科研机构、中小企业与大型企业在获取前沿算力方面的差距，促进科技创新普惠发展。在生态方面，标准中强调的安全、可靠与可维护性要求，引导产业在发展的早期阶段即关注系统的全生命周期管理、资源高效利用与信息安全，为构建绿色、可持续的量子计算基础设施与产业环境提供了前瞻性引导，有助于在未来算力革命中践行绿色发展理念。</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34"/>
      <w:bookmarkStart w:id="36" w:name="_Toc24884212"/>
      <w:bookmarkStart w:id="37" w:name="_Toc26648466"/>
      <w:bookmarkStart w:id="38" w:name="_Toc24884219"/>
      <w:bookmarkStart w:id="39" w:name="_Toc17233326"/>
      <w:r>
        <w:rPr>
          <w:rFonts w:hint="eastAsia" w:ascii="仿宋" w:hAnsi="仿宋" w:eastAsia="仿宋" w:cs="仿宋"/>
          <w:sz w:val="21"/>
          <w:szCs w:val="21"/>
          <w:lang w:val="en-US" w:eastAsia="zh-CN"/>
        </w:rPr>
        <w:t>本章明确了标准的适用范围，规定了量子-经典混合计算平台的体系架构、互操作接口的通用要求、功能定义、协议数据格式、符合性验证方法以及安全可靠性要求。适用于量子计算硬件提供商、经典计算软件开发商、云服务平台商及科研机构在设计、开发、集成和测试量子-经典混合计算系统时使用。</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986772"/>
      <w:bookmarkStart w:id="41" w:name="_Toc26718931"/>
      <w:bookmarkStart w:id="42" w:name="_Toc26986531"/>
      <w:bookmarkStart w:id="43" w:name="_Toc113282591"/>
      <w:bookmarkStart w:id="44" w:name="_Toc97192965"/>
      <w:bookmarkStart w:id="45" w:name="_Toc1191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7E8F47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无。</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97192966"/>
      <w:bookmarkStart w:id="47" w:name="_Toc2484"/>
      <w:bookmarkStart w:id="48" w:name="_Toc113282592"/>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对“量子-经典混合计算”“量子处理单元”“后端提供商”“量子任务”“互操作接口”等关键术语进行了明确定义，为后续内容提供统一的概念基础。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缩略语</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列出了标准中使用的常用缩略语及其全称，包括API、JSON、QPU、SDK、TLS等。</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量子-经典混合计算平台架构概述</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描述了量子-经典混合计算平台的逻辑架构，包括用户应用层、混合计算框架层、经典计算资源、量子计算资源以及互操作接口总线等组件及其交互关系。</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互操作接口通用原则</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提出了接口设计应遵循的声明式编程、异步通信、能力发现等基本原则，并规定了接口版本管理的统一格式、向前兼容性要求及版本维护周期。</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接口要求</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从接口设计、开发、调用和更新四个环节提出具体技术要求，包括安全性、开放性、灵活性、松耦合等设计原则，以及接口命名、调用方式、参数传递、返回格式、更新流程等开发与运维规范。</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8.安全要求</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从网络安全、系统安全、应用安全、数据安全及安全管理五个维度，提出包括防火墙、入侵检测、身份认证、数据加密、安全审计、备份恢复、应急响应等在内的全方位安全防护要求。</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运维要求</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明确了系统监控、故障处理、系统优化和文档管理四个方面的运维规范，涵盖资源监控、日志分析、故障报警、性能优化、代码调优、文档版本控制等内容，确保系统稳定、高效、可维护运行。</w:t>
      </w:r>
    </w:p>
    <w:p w14:paraId="2545AB1A">
      <w:pPr>
        <w:pStyle w:val="60"/>
        <w:numPr>
          <w:ilvl w:val="1"/>
          <w:numId w:val="0"/>
        </w:numPr>
        <w:spacing w:before="156" w:after="156"/>
        <w:rPr>
          <w:rFonts w:ascii="仿宋" w:hAnsi="仿宋" w:eastAsia="仿宋" w:cs="仿宋"/>
          <w:b/>
          <w:bCs/>
          <w:color w:val="000000"/>
          <w:sz w:val="21"/>
          <w:szCs w:val="21"/>
        </w:rPr>
      </w:pPr>
      <w:bookmarkStart w:id="55" w:name="_GoBack"/>
      <w:bookmarkEnd w:id="55"/>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C94452"/>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33210"/>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5203</Words>
  <Characters>5381</Characters>
  <Lines>17</Lines>
  <Paragraphs>4</Paragraphs>
  <TotalTime>10</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2025-11-02T10:43:03Z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1112E83C94D343918D22E8999ED272F6_13</vt:lpwstr>
  </property>
  <property fmtid="{D5CDD505-2E9C-101B-9397-08002B2CF9AE}" pid="4" name="KSOTemplateDocerSaveRecord">
    <vt:lpwstr>eyJoZGlkIjoiMzEwNTM5NzYwMDRjMzkwZTVkZjY2ODkwMGIxNGU0OTUiLCJ1c2VySWQiOiI1OTM0Mzk3OTEifQ==</vt:lpwstr>
  </property>
</Properties>
</file>