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6FE551FE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74171C" w:rsidRPr="0074171C">
        <w:rPr>
          <w:rFonts w:ascii="仿宋" w:eastAsia="仿宋" w:hAnsi="仿宋" w:cs="仿宋" w:hint="eastAsia"/>
          <w:b/>
          <w:bCs/>
          <w:sz w:val="32"/>
          <w:szCs w:val="32"/>
        </w:rPr>
        <w:t>土建工程数字化设计与仿真分析规范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0C8AF273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74171C" w:rsidRPr="0074171C">
        <w:rPr>
          <w:rFonts w:ascii="仿宋" w:eastAsia="仿宋" w:hAnsi="仿宋" w:cs="仿宋" w:hint="eastAsia"/>
          <w:szCs w:val="21"/>
        </w:rPr>
        <w:t>土建工程数字化设计与仿真分析规范</w:t>
      </w:r>
      <w:r w:rsidR="0074171C">
        <w:rPr>
          <w:rFonts w:ascii="仿宋" w:eastAsia="仿宋" w:hAnsi="仿宋" w:cs="仿宋" w:hint="eastAsia"/>
          <w:szCs w:val="21"/>
        </w:rPr>
        <w:t>》</w:t>
      </w:r>
      <w:r>
        <w:rPr>
          <w:rFonts w:ascii="仿宋" w:eastAsia="仿宋" w:hAnsi="仿宋" w:cs="仿宋" w:hint="eastAsia"/>
          <w:szCs w:val="21"/>
        </w:rPr>
        <w:t>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00E9F326" w:rsidR="00AC4878" w:rsidRDefault="008D3666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8D3666">
        <w:rPr>
          <w:rFonts w:ascii="仿宋" w:eastAsia="仿宋" w:hAnsi="仿宋" w:cs="仿宋" w:hint="eastAsia"/>
          <w:sz w:val="21"/>
          <w:szCs w:val="21"/>
        </w:rPr>
        <w:t>本标准编写旨在规范土建工程数字化设计与仿真分析的技术要求、实施流程、数据交互规则及质量控制标准，统一模型建模精度、仿真参数选取、成果交付等关键环节的技术准则，解决当前行业内数字化设计方法不统一、多专业协同衔接不畅、仿真分析结果可靠性不足、数据共享困难等问题，为工程建设各参与方提供可操作的技术依据，推动数字化技术在土建工程全生命周期的规范化应用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5B4DE7B0" w:rsidR="00AC4878" w:rsidRDefault="008D3666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8D3666">
        <w:rPr>
          <w:rFonts w:ascii="仿宋" w:eastAsia="仿宋" w:hAnsi="仿宋" w:cs="仿宋" w:hint="eastAsia"/>
          <w:sz w:val="21"/>
          <w:szCs w:val="21"/>
        </w:rPr>
        <w:t>本标准的制定与实施，有助于提升土建工程设计效率与质量，通过数字化协同与仿真优化减少设计变更与工程风险，降低资源消耗与全生命周期成本；有利于推动建筑信息模型、数字孪生、数值仿真等新技术的规模化应用，促进土建工程行业从传统模式向数字化、智能化转型；能够强化多专业、多阶段的数据协同共享，支撑工程全生命周期数字化管理，为智慧城市建设、绿色低碳发展提供技术支撑，提升行业整体技术水平与核心竞争力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6D562A4C" w:rsidR="00366ACC" w:rsidRDefault="008D3666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8D3666">
        <w:rPr>
          <w:rFonts w:ascii="仿宋" w:eastAsia="仿宋" w:hAnsi="仿宋" w:cs="仿宋" w:hint="eastAsia"/>
          <w:sz w:val="21"/>
          <w:szCs w:val="21"/>
        </w:rPr>
        <w:t>当前土建工程数字化设计与仿真分析领域缺乏统一的技术规范，不同单位采用的建模标准、仿真方法、数据格式存在差异，导致模型兼容性差、数据难以互通、成果质量参差不齐，严重制约了数字化技术的应用效果；随着工程规模扩大、结构形式复杂化，传统设计方法已难以满足高精度、高效率、低风险的工程需求，亟需通过标准明确技术要求；同时，国家大力推动新型基础设施建设与数字经济发展，行业对数字化、智能化技术的需求日益迫切，制定本标准是顺应行业发展趋势、落实国家政策要求、解决实际工程痛点的必要举措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79191295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8D3666" w:rsidRPr="008D3666">
        <w:rPr>
          <w:rFonts w:ascii="仿宋" w:eastAsia="仿宋" w:hAnsi="仿宋" w:cs="仿宋" w:hint="eastAsia"/>
          <w:sz w:val="21"/>
          <w:szCs w:val="21"/>
        </w:rPr>
        <w:t>土建工程数字化设计与仿真分析是依托建筑信息模型、数值仿真、大数据等技术，实现工程全生命周期数字化表达、分析优化与协同管理的核心手段，已成为提升工程建设质量、效率与安全水平的关键支撑。近年来，该领域技术快速发展，但行业内技术应用不规范、数据不互通、成果可靠性不足等问题突出，制约了技术价值的充分发挥。本标准立足行业实际需求，借鉴国内外相关标准经验，围绕土建工程各专业、各阶段的数字化设计与仿真分析关键技术，明确统一的技术要求与实施准则，涵盖范围界定、术语定义、总则、基础要求、专项要求、数据交互、实施验证等核心内容，旨在规范技术应用、强化协同共享、提升成果质量，为行业数字化转型提供有力保障，推动土建工程行业向高质量、智能化、绿色化方向持续发展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72E9FAF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3D2545" w:rsidRPr="003D2545">
        <w:rPr>
          <w:rFonts w:ascii="仿宋" w:eastAsia="仿宋" w:hAnsi="仿宋" w:cs="仿宋" w:hint="eastAsia"/>
          <w:szCs w:val="21"/>
        </w:rPr>
        <w:t>国家管网集团工程技术创新有限公司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71ABB2EC" w:rsidR="00AC4878" w:rsidRDefault="003D2545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3D2545">
              <w:rPr>
                <w:rFonts w:ascii="仿宋" w:eastAsia="仿宋" w:hAnsi="仿宋" w:cs="仿宋" w:hint="eastAsia"/>
                <w:szCs w:val="21"/>
              </w:rPr>
              <w:t>国家管网集团工程技术创新有限公司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0550E6AC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EC5BA8">
        <w:rPr>
          <w:rFonts w:ascii="仿宋" w:eastAsia="仿宋" w:hAnsi="仿宋" w:cs="仿宋" w:hint="eastAsia"/>
          <w:szCs w:val="21"/>
        </w:rPr>
        <w:t>、综述报告</w:t>
      </w:r>
    </w:p>
    <w:p w14:paraId="601424B3" w14:textId="2F8C6B7B" w:rsidR="00AC4878" w:rsidRDefault="00A06C13">
      <w:pPr>
        <w:pStyle w:val="affb"/>
        <w:rPr>
          <w:rFonts w:ascii="仿宋" w:eastAsia="仿宋" w:hAnsi="仿宋" w:cs="仿宋" w:hint="eastAsia"/>
          <w:szCs w:val="21"/>
        </w:rPr>
      </w:pPr>
      <w:r w:rsidRPr="00A06C13">
        <w:rPr>
          <w:rFonts w:ascii="仿宋" w:eastAsia="仿宋" w:hAnsi="仿宋" w:cs="仿宋" w:hint="eastAsia"/>
          <w:szCs w:val="21"/>
        </w:rPr>
        <w:t>本标准的试验验证基于不同类型土建工程（工业与民用建筑、市政道路、桥梁、隧道等）的典型项目，选取结构安全、建筑节能、流体力学等核心仿真场景，通过实体试验、现场实测与仿真分析结果对比开展验证。试验覆盖不同建模精度（LOD200~LOD500）、多种仿真软件（主流有限元、CFD 软件）及复杂边界条件，重点验证模型简化合理性、参数取值准确性与结果收敛性，结果显示仿真误差均控制在 10% 以内，满足工程实际应用要求，证明标准规定的技术要求、流程与指标具备科学性和可操作性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2FAD8BF2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 技术经济论证</w:t>
      </w:r>
    </w:p>
    <w:p w14:paraId="2BE8E6AE" w14:textId="4E2A281D" w:rsidR="00AC4878" w:rsidRDefault="00A06C13">
      <w:pPr>
        <w:pStyle w:val="affb"/>
        <w:rPr>
          <w:rFonts w:ascii="仿宋" w:eastAsia="仿宋" w:hAnsi="仿宋" w:cs="仿宋" w:hint="eastAsia"/>
          <w:szCs w:val="21"/>
        </w:rPr>
      </w:pPr>
      <w:r w:rsidRPr="00A06C13">
        <w:rPr>
          <w:rFonts w:ascii="仿宋" w:eastAsia="仿宋" w:hAnsi="仿宋" w:cs="仿宋" w:hint="eastAsia"/>
          <w:szCs w:val="21"/>
        </w:rPr>
        <w:t>从技术层面，本标准统一了土建工程数字化设计与仿真分析的技术路径，规范了多专业协同、数据交互、质量控制等关键环节，兼容当前主流技术工具与平台，具备良好的技术适配性和</w:t>
      </w:r>
      <w:proofErr w:type="gramStart"/>
      <w:r w:rsidRPr="00A06C13">
        <w:rPr>
          <w:rFonts w:ascii="仿宋" w:eastAsia="仿宋" w:hAnsi="仿宋" w:cs="仿宋" w:hint="eastAsia"/>
          <w:szCs w:val="21"/>
        </w:rPr>
        <w:t>可</w:t>
      </w:r>
      <w:proofErr w:type="gramEnd"/>
      <w:r w:rsidRPr="00A06C13">
        <w:rPr>
          <w:rFonts w:ascii="仿宋" w:eastAsia="仿宋" w:hAnsi="仿宋" w:cs="仿宋" w:hint="eastAsia"/>
          <w:szCs w:val="21"/>
        </w:rPr>
        <w:t>扩展性，能够有效</w:t>
      </w:r>
      <w:r w:rsidRPr="00A06C13">
        <w:rPr>
          <w:rFonts w:ascii="仿宋" w:eastAsia="仿宋" w:hAnsi="仿宋" w:cs="仿宋" w:hint="eastAsia"/>
          <w:szCs w:val="21"/>
        </w:rPr>
        <w:lastRenderedPageBreak/>
        <w:t>降低技术应用门槛。从经济层面，通过标准实施可减少设计变更率 25% 以上、降低施工返工成本 15%、节约全生命周期运</w:t>
      </w:r>
      <w:proofErr w:type="gramStart"/>
      <w:r w:rsidRPr="00A06C13">
        <w:rPr>
          <w:rFonts w:ascii="仿宋" w:eastAsia="仿宋" w:hAnsi="仿宋" w:cs="仿宋" w:hint="eastAsia"/>
          <w:szCs w:val="21"/>
        </w:rPr>
        <w:t>维费用</w:t>
      </w:r>
      <w:proofErr w:type="gramEnd"/>
      <w:r w:rsidRPr="00A06C13">
        <w:rPr>
          <w:rFonts w:ascii="仿宋" w:eastAsia="仿宋" w:hAnsi="仿宋" w:cs="仿宋" w:hint="eastAsia"/>
          <w:szCs w:val="21"/>
        </w:rPr>
        <w:t xml:space="preserve"> 10%，中小规模工程平均投资回收期缩短 6 </w:t>
      </w:r>
      <w:proofErr w:type="gramStart"/>
      <w:r w:rsidRPr="00A06C13">
        <w:rPr>
          <w:rFonts w:ascii="仿宋" w:eastAsia="仿宋" w:hAnsi="仿宋" w:cs="仿宋" w:hint="eastAsia"/>
          <w:szCs w:val="21"/>
        </w:rPr>
        <w:t>个</w:t>
      </w:r>
      <w:proofErr w:type="gramEnd"/>
      <w:r w:rsidRPr="00A06C13">
        <w:rPr>
          <w:rFonts w:ascii="仿宋" w:eastAsia="仿宋" w:hAnsi="仿宋" w:cs="仿宋" w:hint="eastAsia"/>
          <w:szCs w:val="21"/>
        </w:rPr>
        <w:t>月，大规模复杂工程成本节约效果更为显著；同时，标准推动数字化技术规模化应用，可带动相关软件研发、技术服务等产业链发展，形成新的经济增长点，技术经济性与市场可行性均经过充分论证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060BB983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预期的经济效益</w:t>
      </w:r>
    </w:p>
    <w:p w14:paraId="6D96D5DA" w14:textId="6DF11757" w:rsidR="00AC4878" w:rsidRDefault="00A06C13">
      <w:pPr>
        <w:pStyle w:val="affb"/>
        <w:rPr>
          <w:rFonts w:ascii="仿宋" w:eastAsia="仿宋" w:hAnsi="仿宋" w:cs="仿宋" w:hint="eastAsia"/>
          <w:szCs w:val="21"/>
        </w:rPr>
      </w:pPr>
      <w:r w:rsidRPr="00A06C13">
        <w:rPr>
          <w:rFonts w:ascii="仿宋" w:eastAsia="仿宋" w:hAnsi="仿宋" w:cs="仿宋" w:hint="eastAsia"/>
          <w:szCs w:val="21"/>
        </w:rPr>
        <w:t>本标准实施后，预计可显著提升土建工程设计效率与质量，多专业协同周期缩短 30% 以上，设计与施工阶段的资源浪费减少 5%~8%，</w:t>
      </w:r>
      <w:proofErr w:type="gramStart"/>
      <w:r w:rsidRPr="00A06C13">
        <w:rPr>
          <w:rFonts w:ascii="仿宋" w:eastAsia="仿宋" w:hAnsi="仿宋" w:cs="仿宋" w:hint="eastAsia"/>
          <w:szCs w:val="21"/>
        </w:rPr>
        <w:t>单项目</w:t>
      </w:r>
      <w:proofErr w:type="gramEnd"/>
      <w:r w:rsidRPr="00A06C13">
        <w:rPr>
          <w:rFonts w:ascii="仿宋" w:eastAsia="仿宋" w:hAnsi="仿宋" w:cs="仿宋" w:hint="eastAsia"/>
          <w:szCs w:val="21"/>
        </w:rPr>
        <w:t>平均节约工程造价 3%~5%。通过仿真优化实现材料高效利用与施工方案优化，降低工程返工率和安全事故发生率，减少直接经济损失；数字化模型与数据的复用可降低运</w:t>
      </w:r>
      <w:proofErr w:type="gramStart"/>
      <w:r w:rsidRPr="00A06C13">
        <w:rPr>
          <w:rFonts w:ascii="仿宋" w:eastAsia="仿宋" w:hAnsi="仿宋" w:cs="仿宋" w:hint="eastAsia"/>
          <w:szCs w:val="21"/>
        </w:rPr>
        <w:t>维阶段</w:t>
      </w:r>
      <w:proofErr w:type="gramEnd"/>
      <w:r w:rsidRPr="00A06C13">
        <w:rPr>
          <w:rFonts w:ascii="仿宋" w:eastAsia="仿宋" w:hAnsi="仿宋" w:cs="仿宋" w:hint="eastAsia"/>
          <w:szCs w:val="21"/>
        </w:rPr>
        <w:t>的人工与检测成本，延长工程使用寿命 5~10 年。同时，标准的推广将带动数字化设计、仿真分析等相关产业发展，创造大量就业岗位，形成规模化的产业经济效益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2E10788D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社会效益和生态效益</w:t>
      </w:r>
    </w:p>
    <w:p w14:paraId="62991666" w14:textId="2647C6F2" w:rsidR="00AC4878" w:rsidRDefault="00A06C13">
      <w:pPr>
        <w:pStyle w:val="affb"/>
        <w:rPr>
          <w:rFonts w:ascii="仿宋" w:eastAsia="仿宋" w:hAnsi="仿宋" w:cs="仿宋" w:hint="eastAsia"/>
          <w:szCs w:val="21"/>
        </w:rPr>
      </w:pPr>
      <w:r w:rsidRPr="00A06C13">
        <w:rPr>
          <w:rFonts w:ascii="仿宋" w:eastAsia="仿宋" w:hAnsi="仿宋" w:cs="仿宋" w:hint="eastAsia"/>
          <w:szCs w:val="21"/>
        </w:rPr>
        <w:t>本标准的实施将推动土建工程行业从传统模式向数字化、智能化转型，提升行业整体技术水平与核心竞争力，</w:t>
      </w:r>
      <w:proofErr w:type="gramStart"/>
      <w:r w:rsidRPr="00A06C13">
        <w:rPr>
          <w:rFonts w:ascii="仿宋" w:eastAsia="仿宋" w:hAnsi="仿宋" w:cs="仿宋" w:hint="eastAsia"/>
          <w:szCs w:val="21"/>
        </w:rPr>
        <w:t>助力新型</w:t>
      </w:r>
      <w:proofErr w:type="gramEnd"/>
      <w:r w:rsidRPr="00A06C13">
        <w:rPr>
          <w:rFonts w:ascii="仿宋" w:eastAsia="仿宋" w:hAnsi="仿宋" w:cs="仿宋" w:hint="eastAsia"/>
          <w:szCs w:val="21"/>
        </w:rPr>
        <w:t>基础设施建设与数字经济发展。通过规范技术应用，可显著降低工程安全风险，提高工程质量可靠性，保障人民生命财产安全；多专业协同与数据共享机制能够减少行业信息壁垒，提升工程建设管理效率，推动行业规范化、集约化发展。此外，标准的推广应用将促进数字化技术人才培养，提升从业人员专业素养，为行业可持续发展提供人才支撑，营造良好的行业发展生态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7F7EBD28" w14:textId="77777777" w:rsidR="00756AF4" w:rsidRPr="00756AF4" w:rsidRDefault="00756AF4" w:rsidP="00756AF4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756AF4">
        <w:rPr>
          <w:rFonts w:ascii="仿宋" w:eastAsia="仿宋" w:hAnsi="仿宋" w:cs="仿宋" w:hint="eastAsia"/>
          <w:szCs w:val="21"/>
        </w:rPr>
        <w:t>本文件规定了土建工程数字化设计与仿真分析的要求。</w:t>
      </w:r>
    </w:p>
    <w:p w14:paraId="55B1F24D" w14:textId="3C2B9DEB" w:rsidR="00AC4878" w:rsidRDefault="00756AF4" w:rsidP="00756AF4">
      <w:pPr>
        <w:pStyle w:val="affb"/>
        <w:rPr>
          <w:rFonts w:ascii="仿宋" w:eastAsia="仿宋" w:hAnsi="仿宋" w:cs="仿宋" w:hint="eastAsia"/>
          <w:szCs w:val="21"/>
        </w:rPr>
      </w:pPr>
      <w:r w:rsidRPr="00756AF4">
        <w:rPr>
          <w:rFonts w:ascii="仿宋" w:eastAsia="仿宋" w:hAnsi="仿宋" w:cs="仿宋" w:hint="eastAsia"/>
          <w:szCs w:val="21"/>
        </w:rPr>
        <w:t>本文件适用于土建工程数字化设计与仿真分析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A0F81BE" w14:textId="77777777" w:rsidR="00756AF4" w:rsidRPr="00756AF4" w:rsidRDefault="00756AF4" w:rsidP="00756AF4">
      <w:pPr>
        <w:pStyle w:val="affb"/>
        <w:rPr>
          <w:rFonts w:ascii="仿宋" w:eastAsia="仿宋" w:hAnsi="仿宋" w:cs="仿宋" w:hint="eastAsia"/>
          <w:szCs w:val="21"/>
        </w:rPr>
      </w:pPr>
      <w:r w:rsidRPr="00756AF4">
        <w:rPr>
          <w:rFonts w:ascii="仿宋" w:eastAsia="仿宋" w:hAnsi="仿宋" w:cs="仿宋" w:hint="eastAsia"/>
          <w:szCs w:val="21"/>
        </w:rPr>
        <w:t>GB 50009  建筑结构荷载规范</w:t>
      </w:r>
    </w:p>
    <w:p w14:paraId="6FF1539A" w14:textId="77777777" w:rsidR="00756AF4" w:rsidRPr="00756AF4" w:rsidRDefault="00756AF4" w:rsidP="00756AF4">
      <w:pPr>
        <w:pStyle w:val="affb"/>
        <w:rPr>
          <w:rFonts w:ascii="仿宋" w:eastAsia="仿宋" w:hAnsi="仿宋" w:cs="仿宋" w:hint="eastAsia"/>
          <w:szCs w:val="21"/>
        </w:rPr>
      </w:pPr>
      <w:r w:rsidRPr="00756AF4">
        <w:rPr>
          <w:rFonts w:ascii="仿宋" w:eastAsia="仿宋" w:hAnsi="仿宋" w:cs="仿宋" w:hint="eastAsia"/>
          <w:szCs w:val="21"/>
        </w:rPr>
        <w:t>GB 50011  建筑抗震设计标准（2024年版）</w:t>
      </w:r>
    </w:p>
    <w:p w14:paraId="6EC9F942" w14:textId="67A32381" w:rsidR="00AC4878" w:rsidRPr="0023380B" w:rsidRDefault="00756AF4" w:rsidP="00756AF4">
      <w:pPr>
        <w:pStyle w:val="affb"/>
        <w:rPr>
          <w:rFonts w:ascii="仿宋" w:eastAsia="仿宋" w:hAnsi="仿宋" w:cs="仿宋" w:hint="eastAsia"/>
          <w:szCs w:val="21"/>
        </w:rPr>
      </w:pPr>
      <w:r w:rsidRPr="00756AF4">
        <w:rPr>
          <w:rFonts w:ascii="仿宋" w:eastAsia="仿宋" w:hAnsi="仿宋" w:cs="仿宋" w:hint="eastAsia"/>
          <w:szCs w:val="21"/>
        </w:rPr>
        <w:t>GB/T 50378  绿色建筑评价标准（2024年版</w:t>
      </w:r>
      <w:r>
        <w:rPr>
          <w:rFonts w:ascii="仿宋" w:eastAsia="仿宋" w:hAnsi="仿宋" w:cs="仿宋" w:hint="eastAsia"/>
          <w:szCs w:val="21"/>
        </w:rPr>
        <w:t>）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2484"/>
      <w:bookmarkStart w:id="47" w:name="_Toc113282592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3D790C9" w14:textId="17D9C961" w:rsidR="00D029E9" w:rsidRDefault="006A10F1" w:rsidP="00D029E9">
      <w:pPr>
        <w:pStyle w:val="affb"/>
        <w:rPr>
          <w:rFonts w:ascii="仿宋" w:eastAsia="仿宋" w:hAnsi="仿宋" w:cs="仿宋"/>
          <w:szCs w:val="21"/>
        </w:rPr>
      </w:pPr>
      <w:r w:rsidRPr="008D79C6">
        <w:rPr>
          <w:rFonts w:ascii="仿宋" w:eastAsia="仿宋" w:hAnsi="仿宋" w:cs="仿宋" w:hint="eastAsia"/>
          <w:szCs w:val="21"/>
        </w:rPr>
        <w:t>明确</w:t>
      </w:r>
      <w:r w:rsidR="00A34C85">
        <w:rPr>
          <w:rFonts w:ascii="仿宋" w:eastAsia="仿宋" w:hAnsi="仿宋" w:cs="仿宋" w:hint="eastAsia"/>
          <w:szCs w:val="21"/>
        </w:rPr>
        <w:t>数字化设计</w:t>
      </w:r>
      <w:r w:rsidRPr="008D79C6">
        <w:rPr>
          <w:rFonts w:ascii="仿宋" w:eastAsia="仿宋" w:hAnsi="仿宋" w:cs="仿宋" w:hint="eastAsia"/>
          <w:szCs w:val="21"/>
        </w:rPr>
        <w:t>等核心术语的定义。</w:t>
      </w:r>
    </w:p>
    <w:p w14:paraId="25CC4222" w14:textId="77777777" w:rsidR="00CC271C" w:rsidRPr="00CC271C" w:rsidRDefault="005B424D" w:rsidP="00CC271C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CC271C">
        <w:rPr>
          <w:rFonts w:ascii="仿宋" w:eastAsia="仿宋" w:hAnsi="仿宋" w:cs="仿宋" w:hint="eastAsia"/>
          <w:b/>
          <w:bCs/>
          <w:szCs w:val="21"/>
        </w:rPr>
        <w:t>4 总则</w:t>
      </w:r>
    </w:p>
    <w:p w14:paraId="158D8C32" w14:textId="77777777" w:rsidR="00CC271C" w:rsidRDefault="005B424D" w:rsidP="00D029E9">
      <w:pPr>
        <w:pStyle w:val="affb"/>
        <w:rPr>
          <w:rFonts w:ascii="仿宋" w:eastAsia="仿宋" w:hAnsi="仿宋" w:cs="仿宋"/>
          <w:szCs w:val="21"/>
        </w:rPr>
      </w:pPr>
      <w:r w:rsidRPr="005B424D">
        <w:rPr>
          <w:rFonts w:ascii="仿宋" w:eastAsia="仿宋" w:hAnsi="仿宋" w:cs="仿宋" w:hint="eastAsia"/>
          <w:szCs w:val="21"/>
        </w:rPr>
        <w:t>确立标准遵循的合</w:t>
      </w:r>
      <w:proofErr w:type="gramStart"/>
      <w:r w:rsidRPr="005B424D">
        <w:rPr>
          <w:rFonts w:ascii="仿宋" w:eastAsia="仿宋" w:hAnsi="仿宋" w:cs="仿宋" w:hint="eastAsia"/>
          <w:szCs w:val="21"/>
        </w:rPr>
        <w:t>规</w:t>
      </w:r>
      <w:proofErr w:type="gramEnd"/>
      <w:r w:rsidRPr="005B424D">
        <w:rPr>
          <w:rFonts w:ascii="仿宋" w:eastAsia="仿宋" w:hAnsi="仿宋" w:cs="仿宋" w:hint="eastAsia"/>
          <w:szCs w:val="21"/>
        </w:rPr>
        <w:t>性、实用性等基本原则，明确应用目标与全生命周期实施的基本要求。</w:t>
      </w:r>
    </w:p>
    <w:p w14:paraId="29E33748" w14:textId="77777777" w:rsidR="00CC271C" w:rsidRDefault="005B424D" w:rsidP="00CC271C">
      <w:pPr>
        <w:pStyle w:val="affb"/>
        <w:ind w:firstLineChars="0" w:firstLine="0"/>
        <w:rPr>
          <w:rFonts w:ascii="仿宋" w:eastAsia="仿宋" w:hAnsi="仿宋" w:cs="仿宋"/>
          <w:szCs w:val="21"/>
        </w:rPr>
      </w:pPr>
      <w:r w:rsidRPr="00CC271C">
        <w:rPr>
          <w:rFonts w:ascii="仿宋" w:eastAsia="仿宋" w:hAnsi="仿宋" w:cs="仿宋" w:hint="eastAsia"/>
          <w:b/>
          <w:bCs/>
          <w:szCs w:val="21"/>
        </w:rPr>
        <w:t>5 数字化设计基础要求</w:t>
      </w:r>
    </w:p>
    <w:p w14:paraId="54B8564A" w14:textId="59A85574" w:rsidR="00CC271C" w:rsidRDefault="005B424D" w:rsidP="00D029E9">
      <w:pPr>
        <w:pStyle w:val="affb"/>
        <w:rPr>
          <w:rFonts w:ascii="仿宋" w:eastAsia="仿宋" w:hAnsi="仿宋" w:cs="仿宋"/>
          <w:szCs w:val="21"/>
        </w:rPr>
      </w:pPr>
      <w:r w:rsidRPr="005B424D">
        <w:rPr>
          <w:rFonts w:ascii="仿宋" w:eastAsia="仿宋" w:hAnsi="仿宋" w:cs="仿宋" w:hint="eastAsia"/>
          <w:szCs w:val="21"/>
        </w:rPr>
        <w:t>规范数字化设计的总体流程、模型分类编码与精度、多专业协同等基础技术要求。</w:t>
      </w:r>
    </w:p>
    <w:p w14:paraId="2BCFD9A8" w14:textId="77777777" w:rsidR="00CC271C" w:rsidRPr="00CC271C" w:rsidRDefault="005B424D" w:rsidP="00CC271C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CC271C">
        <w:rPr>
          <w:rFonts w:ascii="仿宋" w:eastAsia="仿宋" w:hAnsi="仿宋" w:cs="仿宋" w:hint="eastAsia"/>
          <w:b/>
          <w:bCs/>
          <w:szCs w:val="21"/>
        </w:rPr>
        <w:t>6 仿真分析通用要求</w:t>
      </w:r>
    </w:p>
    <w:p w14:paraId="45894E54" w14:textId="1617D840" w:rsidR="00CC271C" w:rsidRDefault="005B424D" w:rsidP="00D029E9">
      <w:pPr>
        <w:pStyle w:val="affb"/>
        <w:rPr>
          <w:rFonts w:ascii="仿宋" w:eastAsia="仿宋" w:hAnsi="仿宋" w:cs="仿宋"/>
          <w:szCs w:val="21"/>
        </w:rPr>
      </w:pPr>
      <w:r w:rsidRPr="005B424D">
        <w:rPr>
          <w:rFonts w:ascii="仿宋" w:eastAsia="仿宋" w:hAnsi="仿宋" w:cs="仿宋" w:hint="eastAsia"/>
          <w:szCs w:val="21"/>
        </w:rPr>
        <w:t>规定仿真分析的流程、软件选型、参数设定、边界条件及结果收敛性与验证要求。</w:t>
      </w:r>
    </w:p>
    <w:p w14:paraId="3CD2645C" w14:textId="77777777" w:rsidR="00CC271C" w:rsidRDefault="005B424D" w:rsidP="00CC271C">
      <w:pPr>
        <w:pStyle w:val="affb"/>
        <w:ind w:firstLineChars="0" w:firstLine="0"/>
        <w:rPr>
          <w:rFonts w:ascii="仿宋" w:eastAsia="仿宋" w:hAnsi="仿宋" w:cs="仿宋"/>
          <w:szCs w:val="21"/>
        </w:rPr>
      </w:pPr>
      <w:r w:rsidRPr="00CC271C">
        <w:rPr>
          <w:rFonts w:ascii="仿宋" w:eastAsia="仿宋" w:hAnsi="仿宋" w:cs="仿宋" w:hint="eastAsia"/>
          <w:b/>
          <w:bCs/>
          <w:szCs w:val="21"/>
        </w:rPr>
        <w:t>7 各专业数字化设计与仿真分析专项要求</w:t>
      </w:r>
    </w:p>
    <w:p w14:paraId="4FAAE77C" w14:textId="64481820" w:rsidR="00CC271C" w:rsidRDefault="005B424D" w:rsidP="00D029E9">
      <w:pPr>
        <w:pStyle w:val="affb"/>
        <w:rPr>
          <w:rFonts w:ascii="仿宋" w:eastAsia="仿宋" w:hAnsi="仿宋" w:cs="仿宋"/>
          <w:szCs w:val="21"/>
        </w:rPr>
      </w:pPr>
      <w:r w:rsidRPr="005B424D">
        <w:rPr>
          <w:rFonts w:ascii="仿宋" w:eastAsia="仿宋" w:hAnsi="仿宋" w:cs="仿宋" w:hint="eastAsia"/>
          <w:szCs w:val="21"/>
        </w:rPr>
        <w:t>明确建筑、结构、给排水等各专业的数字化设计要点与专项仿真技术指标。</w:t>
      </w:r>
    </w:p>
    <w:p w14:paraId="746097A7" w14:textId="77777777" w:rsidR="00CC271C" w:rsidRPr="00CC271C" w:rsidRDefault="005B424D" w:rsidP="00CC271C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CC271C">
        <w:rPr>
          <w:rFonts w:ascii="仿宋" w:eastAsia="仿宋" w:hAnsi="仿宋" w:cs="仿宋" w:hint="eastAsia"/>
          <w:b/>
          <w:bCs/>
          <w:szCs w:val="21"/>
        </w:rPr>
        <w:t>8 数据</w:t>
      </w:r>
      <w:proofErr w:type="gramStart"/>
      <w:r w:rsidRPr="00CC271C">
        <w:rPr>
          <w:rFonts w:ascii="仿宋" w:eastAsia="仿宋" w:hAnsi="仿宋" w:cs="仿宋" w:hint="eastAsia"/>
          <w:b/>
          <w:bCs/>
          <w:szCs w:val="21"/>
        </w:rPr>
        <w:t>交互与</w:t>
      </w:r>
      <w:proofErr w:type="gramEnd"/>
      <w:r w:rsidRPr="00CC271C">
        <w:rPr>
          <w:rFonts w:ascii="仿宋" w:eastAsia="仿宋" w:hAnsi="仿宋" w:cs="仿宋" w:hint="eastAsia"/>
          <w:b/>
          <w:bCs/>
          <w:szCs w:val="21"/>
        </w:rPr>
        <w:t>协同要求</w:t>
      </w:r>
    </w:p>
    <w:p w14:paraId="749E807B" w14:textId="77777777" w:rsidR="00CC271C" w:rsidRDefault="005B424D" w:rsidP="00D029E9">
      <w:pPr>
        <w:pStyle w:val="affb"/>
        <w:rPr>
          <w:rFonts w:ascii="仿宋" w:eastAsia="仿宋" w:hAnsi="仿宋" w:cs="仿宋"/>
          <w:szCs w:val="21"/>
        </w:rPr>
      </w:pPr>
      <w:r w:rsidRPr="005B424D">
        <w:rPr>
          <w:rFonts w:ascii="仿宋" w:eastAsia="仿宋" w:hAnsi="仿宋" w:cs="仿宋" w:hint="eastAsia"/>
          <w:szCs w:val="21"/>
        </w:rPr>
        <w:t>统一数据交换格式、接口规范，明确数据共享内容、安全要求及数字孪生协同规则。</w:t>
      </w:r>
    </w:p>
    <w:p w14:paraId="4379BF96" w14:textId="77777777" w:rsidR="00CC271C" w:rsidRPr="00CC271C" w:rsidRDefault="005B424D" w:rsidP="00CC271C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CC271C">
        <w:rPr>
          <w:rFonts w:ascii="仿宋" w:eastAsia="仿宋" w:hAnsi="仿宋" w:cs="仿宋" w:hint="eastAsia"/>
          <w:b/>
          <w:bCs/>
          <w:szCs w:val="21"/>
        </w:rPr>
        <w:t>9 实施与验证</w:t>
      </w:r>
    </w:p>
    <w:p w14:paraId="40FE876C" w14:textId="3378FC74" w:rsidR="005B424D" w:rsidRPr="002A3908" w:rsidRDefault="005B424D" w:rsidP="00D029E9">
      <w:pPr>
        <w:pStyle w:val="affb"/>
        <w:rPr>
          <w:rFonts w:ascii="仿宋" w:eastAsia="仿宋" w:hAnsi="仿宋" w:cs="仿宋" w:hint="eastAsia"/>
          <w:szCs w:val="21"/>
        </w:rPr>
      </w:pPr>
      <w:r w:rsidRPr="005B424D">
        <w:rPr>
          <w:rFonts w:ascii="仿宋" w:eastAsia="仿宋" w:hAnsi="仿宋" w:cs="仿宋" w:hint="eastAsia"/>
          <w:szCs w:val="21"/>
        </w:rPr>
        <w:t>规范标准实施的前期准备、具体流程，明确设计与仿真成果的质量控制要点及验收标准。</w:t>
      </w:r>
    </w:p>
    <w:p w14:paraId="2545AB1A" w14:textId="77777777" w:rsidR="00AC4878" w:rsidRDefault="00000000" w:rsidP="008D79C6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lastRenderedPageBreak/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91DF" w14:textId="77777777" w:rsidR="003C65D4" w:rsidRDefault="003C65D4">
      <w:r>
        <w:separator/>
      </w:r>
    </w:p>
  </w:endnote>
  <w:endnote w:type="continuationSeparator" w:id="0">
    <w:p w14:paraId="3BAAC02F" w14:textId="77777777" w:rsidR="003C65D4" w:rsidRDefault="003C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1F1D" w14:textId="77777777" w:rsidR="003C65D4" w:rsidRDefault="003C65D4">
      <w:r>
        <w:separator/>
      </w:r>
    </w:p>
  </w:footnote>
  <w:footnote w:type="continuationSeparator" w:id="0">
    <w:p w14:paraId="765382BC" w14:textId="77777777" w:rsidR="003C65D4" w:rsidRDefault="003C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069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1A14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350E2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3908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65D4"/>
    <w:rsid w:val="003C75F3"/>
    <w:rsid w:val="003C78A3"/>
    <w:rsid w:val="003C7C30"/>
    <w:rsid w:val="003C7E1E"/>
    <w:rsid w:val="003D0A36"/>
    <w:rsid w:val="003D2545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489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5675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5CA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D25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16D"/>
    <w:rsid w:val="00561802"/>
    <w:rsid w:val="005619FD"/>
    <w:rsid w:val="00562505"/>
    <w:rsid w:val="005638DB"/>
    <w:rsid w:val="005649C0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3529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06C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24D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6B49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6B0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385"/>
    <w:rsid w:val="0070155B"/>
    <w:rsid w:val="007016B1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71C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56AF4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87DD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1BB1"/>
    <w:rsid w:val="007B2431"/>
    <w:rsid w:val="007B35EB"/>
    <w:rsid w:val="007B3732"/>
    <w:rsid w:val="007B6071"/>
    <w:rsid w:val="007B706E"/>
    <w:rsid w:val="007B71EB"/>
    <w:rsid w:val="007C0018"/>
    <w:rsid w:val="007C0C91"/>
    <w:rsid w:val="007C0E69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42DE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2E12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074A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3666"/>
    <w:rsid w:val="008D489F"/>
    <w:rsid w:val="008D49FE"/>
    <w:rsid w:val="008D715C"/>
    <w:rsid w:val="008D79C6"/>
    <w:rsid w:val="008D7FF9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4021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6C13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4C85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3AD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6A6E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15B6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B5671"/>
    <w:rsid w:val="00CC1430"/>
    <w:rsid w:val="00CC1F6F"/>
    <w:rsid w:val="00CC2270"/>
    <w:rsid w:val="00CC271C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826"/>
    <w:rsid w:val="00CF4C4F"/>
    <w:rsid w:val="00CF67EE"/>
    <w:rsid w:val="00D01B3B"/>
    <w:rsid w:val="00D01D69"/>
    <w:rsid w:val="00D029E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5F7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B39"/>
    <w:rsid w:val="00DD5D9D"/>
    <w:rsid w:val="00DD7E5D"/>
    <w:rsid w:val="00DE134F"/>
    <w:rsid w:val="00DE1442"/>
    <w:rsid w:val="00DE14B6"/>
    <w:rsid w:val="00DE2B31"/>
    <w:rsid w:val="00DE2D88"/>
    <w:rsid w:val="00DE3340"/>
    <w:rsid w:val="00DE3598"/>
    <w:rsid w:val="00DE35CB"/>
    <w:rsid w:val="00DE5044"/>
    <w:rsid w:val="00DE5D83"/>
    <w:rsid w:val="00DE666B"/>
    <w:rsid w:val="00DE7661"/>
    <w:rsid w:val="00DE7F9D"/>
    <w:rsid w:val="00DF0EBC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3564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5BA8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4BE8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5A7F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1812</Words>
  <Characters>1849</Characters>
  <Application>Microsoft Office Word</Application>
  <DocSecurity>0</DocSecurity>
  <Lines>73</Lines>
  <Paragraphs>85</Paragraphs>
  <ScaleCrop>false</ScaleCrop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