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0238" w14:textId="77777777" w:rsidR="008E68C3"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236CEF58" w14:textId="77777777" w:rsidR="008E68C3" w:rsidRDefault="008E68C3">
      <w:pPr>
        <w:adjustRightInd/>
        <w:spacing w:line="240" w:lineRule="auto"/>
        <w:jc w:val="left"/>
        <w:rPr>
          <w:rFonts w:ascii="黑体" w:eastAsia="黑体" w:hAnsi="黑体" w:cs="黑体" w:hint="eastAsia"/>
          <w:szCs w:val="22"/>
        </w:rPr>
      </w:pPr>
    </w:p>
    <w:p w14:paraId="2526C402" w14:textId="01B36DEA" w:rsidR="008E68C3"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8319F1">
        <w:rPr>
          <w:rFonts w:ascii="黑体" w:eastAsia="黑体" w:hAnsi="黑体" w:cs="黑体" w:hint="eastAsia"/>
          <w:szCs w:val="22"/>
        </w:rPr>
        <w:t>91</w:t>
      </w:r>
      <w:r>
        <w:rPr>
          <w:rFonts w:ascii="黑体" w:eastAsia="黑体" w:hAnsi="黑体" w:cs="黑体" w:hint="eastAsia"/>
          <w:szCs w:val="22"/>
        </w:rPr>
        <w:t>.</w:t>
      </w:r>
      <w:r w:rsidR="008319F1">
        <w:rPr>
          <w:rFonts w:ascii="黑体" w:eastAsia="黑体" w:hAnsi="黑体" w:cs="黑体" w:hint="eastAsia"/>
          <w:szCs w:val="22"/>
        </w:rPr>
        <w:t>0</w:t>
      </w:r>
      <w:r w:rsidR="00533890">
        <w:rPr>
          <w:rFonts w:ascii="黑体" w:eastAsia="黑体" w:hAnsi="黑体" w:cs="黑体" w:hint="eastAsia"/>
          <w:szCs w:val="22"/>
        </w:rPr>
        <w:t>40.0</w:t>
      </w:r>
      <w:r w:rsidR="008319F1">
        <w:rPr>
          <w:rFonts w:ascii="黑体" w:eastAsia="黑体" w:hAnsi="黑体" w:cs="黑体" w:hint="eastAsia"/>
          <w:szCs w:val="22"/>
        </w:rPr>
        <w:t>1</w:t>
      </w:r>
      <w:r>
        <w:rPr>
          <w:rFonts w:ascii="黑体" w:eastAsia="黑体" w:hAnsi="黑体" w:cs="黑体" w:hint="eastAsia"/>
          <w:color w:val="FF0000"/>
          <w:szCs w:val="22"/>
        </w:rPr>
        <w:t xml:space="preserve">       </w:t>
      </w:r>
    </w:p>
    <w:p w14:paraId="5B3A4DAD" w14:textId="3837509C" w:rsidR="008E68C3"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8319F1">
        <w:rPr>
          <w:rFonts w:ascii="黑体" w:eastAsia="黑体" w:hAnsi="黑体" w:cs="黑体" w:hint="eastAsia"/>
          <w:szCs w:val="22"/>
        </w:rPr>
        <w:t>P</w:t>
      </w:r>
      <w:r>
        <w:rPr>
          <w:rFonts w:ascii="黑体" w:eastAsia="黑体" w:hAnsi="黑体" w:cs="黑体" w:hint="eastAsia"/>
          <w:szCs w:val="22"/>
        </w:rPr>
        <w:t xml:space="preserve"> </w:t>
      </w:r>
      <w:r w:rsidR="00533890">
        <w:rPr>
          <w:rFonts w:ascii="黑体" w:eastAsia="黑体" w:hAnsi="黑体" w:cs="黑体" w:hint="eastAsia"/>
          <w:szCs w:val="22"/>
        </w:rPr>
        <w:t>3</w:t>
      </w:r>
      <w:r w:rsidR="008319F1">
        <w:rPr>
          <w:rFonts w:ascii="黑体" w:eastAsia="黑体" w:hAnsi="黑体" w:cs="黑体" w:hint="eastAsia"/>
          <w:szCs w:val="22"/>
        </w:rPr>
        <w:t>4</w:t>
      </w:r>
    </w:p>
    <w:p w14:paraId="66C2D497" w14:textId="77777777" w:rsidR="008E68C3" w:rsidRDefault="008E68C3">
      <w:pPr>
        <w:adjustRightInd/>
        <w:spacing w:line="240" w:lineRule="auto"/>
        <w:rPr>
          <w:rFonts w:ascii="黑体" w:eastAsia="黑体" w:hAnsi="黑体" w:cs="黑体" w:hint="eastAsia"/>
          <w:szCs w:val="22"/>
        </w:rPr>
      </w:pPr>
    </w:p>
    <w:p w14:paraId="5B629087" w14:textId="77777777" w:rsidR="008E68C3"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6F4F658E" w14:textId="77777777" w:rsidR="008E68C3"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53F7E29C" w14:textId="77777777" w:rsidR="008E68C3"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95283ED" wp14:editId="4D9BFEC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7BD5568" w14:textId="77777777" w:rsidR="008E68C3" w:rsidRDefault="008E68C3">
      <w:pPr>
        <w:spacing w:line="360" w:lineRule="auto"/>
        <w:rPr>
          <w:rFonts w:ascii="Times New Roman" w:hAnsi="Times New Roman"/>
          <w:szCs w:val="22"/>
        </w:rPr>
      </w:pPr>
    </w:p>
    <w:p w14:paraId="658275B5" w14:textId="77777777" w:rsidR="008E68C3" w:rsidRDefault="008E68C3">
      <w:pPr>
        <w:spacing w:line="360" w:lineRule="auto"/>
        <w:rPr>
          <w:rFonts w:ascii="Times New Roman" w:hAnsi="Times New Roman"/>
          <w:szCs w:val="22"/>
        </w:rPr>
      </w:pPr>
    </w:p>
    <w:p w14:paraId="58EA956B" w14:textId="77777777" w:rsidR="008E68C3" w:rsidRDefault="008E68C3">
      <w:pPr>
        <w:spacing w:line="360" w:lineRule="auto"/>
        <w:jc w:val="center"/>
        <w:rPr>
          <w:rFonts w:ascii="Times New Roman" w:eastAsia="黑体" w:hAnsi="Times New Roman"/>
          <w:sz w:val="52"/>
          <w:szCs w:val="52"/>
        </w:rPr>
      </w:pPr>
    </w:p>
    <w:p w14:paraId="3A72FC98" w14:textId="77777777" w:rsidR="008E68C3" w:rsidRDefault="008E68C3">
      <w:pPr>
        <w:spacing w:line="360" w:lineRule="auto"/>
        <w:jc w:val="center"/>
        <w:rPr>
          <w:rFonts w:ascii="Times New Roman" w:eastAsia="黑体" w:hAnsi="Times New Roman"/>
          <w:sz w:val="52"/>
          <w:szCs w:val="52"/>
        </w:rPr>
      </w:pPr>
    </w:p>
    <w:p w14:paraId="0A88892A" w14:textId="4A85B7A4" w:rsidR="008E68C3" w:rsidRDefault="007E6DD4">
      <w:pPr>
        <w:spacing w:line="360" w:lineRule="auto"/>
        <w:jc w:val="center"/>
        <w:rPr>
          <w:rFonts w:ascii="Times New Roman" w:eastAsia="黑体" w:hAnsi="Times New Roman"/>
        </w:rPr>
      </w:pPr>
      <w:r w:rsidRPr="007E6DD4">
        <w:rPr>
          <w:rFonts w:ascii="Times New Roman" w:eastAsia="黑体" w:hAnsi="Times New Roman" w:hint="eastAsia"/>
          <w:sz w:val="52"/>
          <w:szCs w:val="52"/>
        </w:rPr>
        <w:t>绿色建筑工程造价指标与成本控制规范</w:t>
      </w:r>
    </w:p>
    <w:p w14:paraId="3302BAE5" w14:textId="45B5C593" w:rsidR="008E68C3" w:rsidRDefault="008319F1">
      <w:pPr>
        <w:spacing w:line="360" w:lineRule="auto"/>
        <w:jc w:val="center"/>
        <w:rPr>
          <w:rFonts w:ascii="Times New Roman" w:eastAsia="黑体" w:hAnsi="Times New Roman"/>
          <w:sz w:val="28"/>
          <w:szCs w:val="28"/>
        </w:rPr>
      </w:pPr>
      <w:r w:rsidRPr="008319F1">
        <w:rPr>
          <w:rFonts w:ascii="Times New Roman" w:eastAsia="黑体" w:hAnsi="Times New Roman"/>
          <w:sz w:val="28"/>
          <w:szCs w:val="28"/>
        </w:rPr>
        <w:t>Cost Indicators and Cost Control Standards for Green Building Projects</w:t>
      </w:r>
    </w:p>
    <w:p w14:paraId="0AC8A43C" w14:textId="77777777" w:rsidR="008E68C3"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4E513862" w14:textId="77777777" w:rsidR="008E68C3" w:rsidRDefault="008E68C3">
      <w:pPr>
        <w:spacing w:line="360" w:lineRule="auto"/>
        <w:rPr>
          <w:rFonts w:ascii="Times New Roman" w:hAnsi="Times New Roman"/>
          <w:szCs w:val="22"/>
        </w:rPr>
      </w:pPr>
    </w:p>
    <w:p w14:paraId="1CECF659" w14:textId="77777777" w:rsidR="008E68C3" w:rsidRDefault="008E68C3">
      <w:pPr>
        <w:spacing w:line="360" w:lineRule="auto"/>
        <w:rPr>
          <w:rFonts w:ascii="Times New Roman" w:hAnsi="Times New Roman"/>
          <w:szCs w:val="22"/>
        </w:rPr>
      </w:pPr>
    </w:p>
    <w:p w14:paraId="49B379A4" w14:textId="77777777" w:rsidR="008E68C3" w:rsidRDefault="008E68C3">
      <w:pPr>
        <w:spacing w:line="360" w:lineRule="auto"/>
        <w:rPr>
          <w:rFonts w:ascii="Times New Roman" w:hAnsi="Times New Roman"/>
          <w:szCs w:val="22"/>
        </w:rPr>
      </w:pPr>
    </w:p>
    <w:p w14:paraId="054E6318" w14:textId="77777777" w:rsidR="008E68C3" w:rsidRDefault="008E68C3">
      <w:pPr>
        <w:spacing w:line="360" w:lineRule="auto"/>
        <w:rPr>
          <w:rFonts w:ascii="Times New Roman" w:hAnsi="Times New Roman"/>
          <w:szCs w:val="22"/>
        </w:rPr>
      </w:pPr>
    </w:p>
    <w:p w14:paraId="0AE68201" w14:textId="77777777" w:rsidR="008319F1" w:rsidRDefault="008319F1">
      <w:pPr>
        <w:spacing w:line="360" w:lineRule="auto"/>
        <w:rPr>
          <w:rFonts w:ascii="Times New Roman" w:hAnsi="Times New Roman"/>
          <w:szCs w:val="22"/>
        </w:rPr>
      </w:pPr>
    </w:p>
    <w:p w14:paraId="45734760" w14:textId="77777777" w:rsidR="008E68C3" w:rsidRPr="003C57D5" w:rsidRDefault="008E68C3">
      <w:pPr>
        <w:spacing w:line="360" w:lineRule="auto"/>
        <w:jc w:val="left"/>
        <w:rPr>
          <w:rFonts w:ascii="Times New Roman" w:eastAsia="黑体" w:hAnsi="Times New Roman" w:hint="eastAsia"/>
          <w:sz w:val="28"/>
          <w:szCs w:val="28"/>
        </w:rPr>
      </w:pPr>
    </w:p>
    <w:p w14:paraId="72860038" w14:textId="77777777" w:rsidR="008E68C3" w:rsidRDefault="008E68C3">
      <w:pPr>
        <w:spacing w:line="360" w:lineRule="auto"/>
        <w:jc w:val="left"/>
        <w:rPr>
          <w:rFonts w:ascii="Times New Roman" w:eastAsia="黑体" w:hAnsi="Times New Roman"/>
          <w:sz w:val="28"/>
          <w:szCs w:val="28"/>
        </w:rPr>
      </w:pPr>
    </w:p>
    <w:p w14:paraId="19C35616" w14:textId="77777777" w:rsidR="008E68C3"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75CA59A3" w14:textId="77777777" w:rsidR="008E68C3" w:rsidRDefault="00000000">
      <w:pPr>
        <w:spacing w:line="360" w:lineRule="auto"/>
        <w:jc w:val="center"/>
        <w:rPr>
          <w:rFonts w:ascii="黑体" w:eastAsia="黑体" w:hAnsi="黑体" w:cs="黑体" w:hint="eastAsia"/>
          <w:szCs w:val="22"/>
        </w:rPr>
        <w:sectPr w:rsidR="008E68C3">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488FBEA" wp14:editId="46353CF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39D4D28F" w14:textId="77777777" w:rsidR="00375EFE" w:rsidRDefault="00375EFE" w:rsidP="00375EFE">
      <w:pPr>
        <w:pStyle w:val="affffffc"/>
        <w:spacing w:after="360"/>
      </w:pPr>
      <w:bookmarkStart w:id="0" w:name="BookMark1"/>
      <w:bookmarkStart w:id="1" w:name="_Toc12379"/>
      <w:bookmarkStart w:id="2" w:name="_Toc3964"/>
      <w:bookmarkStart w:id="3" w:name="_Toc212204690"/>
      <w:r w:rsidRPr="00375EFE">
        <w:rPr>
          <w:rFonts w:hint="eastAsia"/>
          <w:spacing w:val="320"/>
        </w:rPr>
        <w:lastRenderedPageBreak/>
        <w:t>目</w:t>
      </w:r>
      <w:r>
        <w:rPr>
          <w:rFonts w:hint="eastAsia"/>
        </w:rPr>
        <w:t>次</w:t>
      </w:r>
    </w:p>
    <w:p w14:paraId="44D41825" w14:textId="417779CD" w:rsidR="00375EFE" w:rsidRPr="00375EFE" w:rsidRDefault="00375EFE">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375EFE">
        <w:fldChar w:fldCharType="begin"/>
      </w:r>
      <w:r w:rsidRPr="00375EFE">
        <w:instrText xml:space="preserve"> TOC \o "1-1" \h \t "标准文件_一级条标题,2,标准文件_附录一级条标题,2," </w:instrText>
      </w:r>
      <w:r w:rsidRPr="00375EFE">
        <w:fldChar w:fldCharType="separate"/>
      </w:r>
      <w:hyperlink w:anchor="_Toc212204753" w:history="1">
        <w:r w:rsidRPr="00375EFE">
          <w:rPr>
            <w:rStyle w:val="affffd"/>
            <w:rFonts w:hint="eastAsia"/>
            <w:noProof/>
          </w:rPr>
          <w:t>前言</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_Toc212204753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II</w:t>
        </w:r>
        <w:r w:rsidRPr="00375EFE">
          <w:rPr>
            <w:rFonts w:hint="eastAsia"/>
            <w:noProof/>
          </w:rPr>
          <w:fldChar w:fldCharType="end"/>
        </w:r>
      </w:hyperlink>
    </w:p>
    <w:p w14:paraId="33A1693A" w14:textId="6896FBFF" w:rsidR="00375EFE" w:rsidRPr="00375EFE" w:rsidRDefault="00375E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04755" w:history="1">
        <w:r w:rsidRPr="00375EFE">
          <w:rPr>
            <w:rStyle w:val="affffd"/>
            <w:rFonts w:hint="eastAsia"/>
            <w:noProof/>
          </w:rPr>
          <w:t>1</w:t>
        </w:r>
        <w:r>
          <w:rPr>
            <w:rStyle w:val="affffd"/>
            <w:noProof/>
          </w:rPr>
          <w:t xml:space="preserve"> </w:t>
        </w:r>
        <w:r w:rsidRPr="00375EFE">
          <w:rPr>
            <w:rStyle w:val="affffd"/>
            <w:rFonts w:hint="eastAsia"/>
            <w:noProof/>
          </w:rPr>
          <w:t xml:space="preserve"> 范围</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_Toc212204755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3</w:t>
        </w:r>
        <w:r w:rsidRPr="00375EFE">
          <w:rPr>
            <w:rFonts w:hint="eastAsia"/>
            <w:noProof/>
          </w:rPr>
          <w:fldChar w:fldCharType="end"/>
        </w:r>
      </w:hyperlink>
    </w:p>
    <w:p w14:paraId="524EA21F" w14:textId="034E4CBE" w:rsidR="00375EFE" w:rsidRPr="00375EFE" w:rsidRDefault="00375E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04756" w:history="1">
        <w:r w:rsidRPr="00375EFE">
          <w:rPr>
            <w:rStyle w:val="affffd"/>
            <w:rFonts w:hint="eastAsia"/>
            <w:noProof/>
          </w:rPr>
          <w:t>2</w:t>
        </w:r>
        <w:r>
          <w:rPr>
            <w:rStyle w:val="affffd"/>
            <w:noProof/>
          </w:rPr>
          <w:t xml:space="preserve"> </w:t>
        </w:r>
        <w:r w:rsidRPr="00375EFE">
          <w:rPr>
            <w:rStyle w:val="affffd"/>
            <w:rFonts w:hint="eastAsia"/>
            <w:noProof/>
          </w:rPr>
          <w:t xml:space="preserve"> 规范性引用文件</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_Toc212204756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3</w:t>
        </w:r>
        <w:r w:rsidRPr="00375EFE">
          <w:rPr>
            <w:rFonts w:hint="eastAsia"/>
            <w:noProof/>
          </w:rPr>
          <w:fldChar w:fldCharType="end"/>
        </w:r>
      </w:hyperlink>
    </w:p>
    <w:p w14:paraId="2DAE671D" w14:textId="6DE2C619" w:rsidR="00375EFE" w:rsidRPr="00375EFE" w:rsidRDefault="00375E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04757" w:history="1">
        <w:r w:rsidRPr="00375EFE">
          <w:rPr>
            <w:rStyle w:val="affffd"/>
            <w:rFonts w:hint="eastAsia"/>
            <w:noProof/>
          </w:rPr>
          <w:t>3</w:t>
        </w:r>
        <w:r>
          <w:rPr>
            <w:rStyle w:val="affffd"/>
            <w:noProof/>
          </w:rPr>
          <w:t xml:space="preserve"> </w:t>
        </w:r>
        <w:r w:rsidRPr="00375EFE">
          <w:rPr>
            <w:rStyle w:val="affffd"/>
            <w:rFonts w:hint="eastAsia"/>
            <w:noProof/>
          </w:rPr>
          <w:t xml:space="preserve"> 术语和定义</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_Toc212204757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3</w:t>
        </w:r>
        <w:r w:rsidRPr="00375EFE">
          <w:rPr>
            <w:rFonts w:hint="eastAsia"/>
            <w:noProof/>
          </w:rPr>
          <w:fldChar w:fldCharType="end"/>
        </w:r>
      </w:hyperlink>
    </w:p>
    <w:p w14:paraId="16B693F0" w14:textId="2FD6AC50" w:rsidR="00375EFE" w:rsidRPr="00375EFE" w:rsidRDefault="00375E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04758" w:history="1">
        <w:r w:rsidRPr="00375EFE">
          <w:rPr>
            <w:rStyle w:val="affffd"/>
            <w:rFonts w:hint="eastAsia"/>
            <w:noProof/>
          </w:rPr>
          <w:t>4</w:t>
        </w:r>
        <w:r>
          <w:rPr>
            <w:rStyle w:val="affffd"/>
            <w:noProof/>
          </w:rPr>
          <w:t xml:space="preserve"> </w:t>
        </w:r>
        <w:r w:rsidRPr="00375EFE">
          <w:rPr>
            <w:rStyle w:val="affffd"/>
            <w:rFonts w:hint="eastAsia"/>
            <w:noProof/>
          </w:rPr>
          <w:t xml:space="preserve"> 基本规定</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_Toc212204758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3</w:t>
        </w:r>
        <w:r w:rsidRPr="00375EFE">
          <w:rPr>
            <w:rFonts w:hint="eastAsia"/>
            <w:noProof/>
          </w:rPr>
          <w:fldChar w:fldCharType="end"/>
        </w:r>
      </w:hyperlink>
    </w:p>
    <w:p w14:paraId="75560DD7" w14:textId="599D53F3"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59" w:history="1">
        <w:r w:rsidRPr="00375EFE">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基本原则</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_Toc212204759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3</w:t>
        </w:r>
        <w:r w:rsidRPr="00375EFE">
          <w:rPr>
            <w:rFonts w:hint="eastAsia"/>
            <w:noProof/>
          </w:rPr>
          <w:fldChar w:fldCharType="end"/>
        </w:r>
      </w:hyperlink>
    </w:p>
    <w:p w14:paraId="015DDF08" w14:textId="03AA77C9"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60" w:history="1">
        <w:r w:rsidRPr="00375EFE">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主要影响因素</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_Toc212204760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4</w:t>
        </w:r>
        <w:r w:rsidRPr="00375EFE">
          <w:rPr>
            <w:rFonts w:hint="eastAsia"/>
            <w:noProof/>
          </w:rPr>
          <w:fldChar w:fldCharType="end"/>
        </w:r>
      </w:hyperlink>
    </w:p>
    <w:p w14:paraId="0941D501" w14:textId="3DC1F9B7"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61" w:history="1">
        <w:r w:rsidRPr="00375EFE">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各方职责</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_Toc212204761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4</w:t>
        </w:r>
        <w:r w:rsidRPr="00375EFE">
          <w:rPr>
            <w:rFonts w:hint="eastAsia"/>
            <w:noProof/>
          </w:rPr>
          <w:fldChar w:fldCharType="end"/>
        </w:r>
      </w:hyperlink>
    </w:p>
    <w:p w14:paraId="3D954974" w14:textId="5595B4F3" w:rsidR="00375EFE" w:rsidRPr="00375EFE" w:rsidRDefault="00375E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04762" w:history="1">
        <w:r w:rsidRPr="00375EFE">
          <w:rPr>
            <w:rStyle w:val="affffd"/>
            <w:rFonts w:hint="eastAsia"/>
            <w:noProof/>
          </w:rPr>
          <w:t>5</w:t>
        </w:r>
        <w:r>
          <w:rPr>
            <w:rStyle w:val="affffd"/>
            <w:noProof/>
          </w:rPr>
          <w:t xml:space="preserve"> </w:t>
        </w:r>
        <w:r w:rsidRPr="00375EFE">
          <w:rPr>
            <w:rStyle w:val="affffd"/>
            <w:rFonts w:hint="eastAsia"/>
            <w:noProof/>
          </w:rPr>
          <w:t xml:space="preserve"> 绿色建筑工程造价指标</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_Toc212204762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4</w:t>
        </w:r>
        <w:r w:rsidRPr="00375EFE">
          <w:rPr>
            <w:rFonts w:hint="eastAsia"/>
            <w:noProof/>
          </w:rPr>
          <w:fldChar w:fldCharType="end"/>
        </w:r>
      </w:hyperlink>
    </w:p>
    <w:p w14:paraId="232FAE10" w14:textId="6B4BB574"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63" w:history="1">
        <w:r w:rsidRPr="00375EFE">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指标构成体系</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_Toc212204763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4</w:t>
        </w:r>
        <w:r w:rsidRPr="00375EFE">
          <w:rPr>
            <w:rFonts w:hint="eastAsia"/>
            <w:noProof/>
          </w:rPr>
          <w:fldChar w:fldCharType="end"/>
        </w:r>
      </w:hyperlink>
    </w:p>
    <w:p w14:paraId="77355F8B" w14:textId="527D018D"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64" w:history="1">
        <w:r w:rsidRPr="00375EFE">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指标计算方法</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_Toc212204764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5</w:t>
        </w:r>
        <w:r w:rsidRPr="00375EFE">
          <w:rPr>
            <w:rFonts w:hint="eastAsia"/>
            <w:noProof/>
          </w:rPr>
          <w:fldChar w:fldCharType="end"/>
        </w:r>
      </w:hyperlink>
    </w:p>
    <w:p w14:paraId="559F5F7D" w14:textId="20B152F8" w:rsidR="00375EFE" w:rsidRPr="00375EFE" w:rsidRDefault="00375E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04765" w:history="1">
        <w:r w:rsidRPr="00375EFE">
          <w:rPr>
            <w:rStyle w:val="affffd"/>
            <w:rFonts w:hint="eastAsia"/>
            <w:noProof/>
          </w:rPr>
          <w:t>6</w:t>
        </w:r>
        <w:r>
          <w:rPr>
            <w:rStyle w:val="affffd"/>
            <w:noProof/>
          </w:rPr>
          <w:t xml:space="preserve"> </w:t>
        </w:r>
        <w:r w:rsidRPr="00375EFE">
          <w:rPr>
            <w:rStyle w:val="affffd"/>
            <w:rFonts w:hint="eastAsia"/>
            <w:noProof/>
          </w:rPr>
          <w:t xml:space="preserve"> 成本控制</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_Toc212204765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5</w:t>
        </w:r>
        <w:r w:rsidRPr="00375EFE">
          <w:rPr>
            <w:rFonts w:hint="eastAsia"/>
            <w:noProof/>
          </w:rPr>
          <w:fldChar w:fldCharType="end"/>
        </w:r>
      </w:hyperlink>
    </w:p>
    <w:p w14:paraId="5E1F3253" w14:textId="4DC8B847"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66" w:history="1">
        <w:r w:rsidRPr="00375EFE">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一般要求</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_Toc212204766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5</w:t>
        </w:r>
        <w:r w:rsidRPr="00375EFE">
          <w:rPr>
            <w:rFonts w:hint="eastAsia"/>
            <w:noProof/>
          </w:rPr>
          <w:fldChar w:fldCharType="end"/>
        </w:r>
      </w:hyperlink>
    </w:p>
    <w:p w14:paraId="6DDA73EA" w14:textId="285260DF"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67" w:history="1">
        <w:r w:rsidRPr="00375EFE">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决策投资阶段</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_Toc212204767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5</w:t>
        </w:r>
        <w:r w:rsidRPr="00375EFE">
          <w:rPr>
            <w:rFonts w:hint="eastAsia"/>
            <w:noProof/>
          </w:rPr>
          <w:fldChar w:fldCharType="end"/>
        </w:r>
      </w:hyperlink>
    </w:p>
    <w:p w14:paraId="709DC912" w14:textId="7B5B261F"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68" w:history="1">
        <w:r w:rsidRPr="00375EFE">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设计阶段</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_Toc212204768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5</w:t>
        </w:r>
        <w:r w:rsidRPr="00375EFE">
          <w:rPr>
            <w:rFonts w:hint="eastAsia"/>
            <w:noProof/>
          </w:rPr>
          <w:fldChar w:fldCharType="end"/>
        </w:r>
      </w:hyperlink>
    </w:p>
    <w:p w14:paraId="7037BB7C" w14:textId="72D26EAA"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69" w:history="1">
        <w:r w:rsidRPr="00375EFE">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招投标与合同订立阶段</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_Toc212204769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5</w:t>
        </w:r>
        <w:r w:rsidRPr="00375EFE">
          <w:rPr>
            <w:rFonts w:hint="eastAsia"/>
            <w:noProof/>
          </w:rPr>
          <w:fldChar w:fldCharType="end"/>
        </w:r>
      </w:hyperlink>
    </w:p>
    <w:p w14:paraId="25207F4E" w14:textId="0DEC7642"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70" w:history="1">
        <w:r w:rsidRPr="00375EFE">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施工阶段</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_Toc212204770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5</w:t>
        </w:r>
        <w:r w:rsidRPr="00375EFE">
          <w:rPr>
            <w:rFonts w:hint="eastAsia"/>
            <w:noProof/>
          </w:rPr>
          <w:fldChar w:fldCharType="end"/>
        </w:r>
      </w:hyperlink>
    </w:p>
    <w:p w14:paraId="6AC0A588" w14:textId="43817740"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71" w:history="1">
        <w:r w:rsidRPr="00375EFE">
          <w:rPr>
            <w:rStyle w:val="affffd"/>
            <w:rFonts w:hint="eastAsia"/>
            <w:noProof/>
            <w14:scene3d>
              <w14:camera w14:prst="orthographicFront"/>
              <w14:lightRig w14:rig="threePt" w14:dir="t">
                <w14:rot w14:lat="0" w14:lon="0" w14:rev="0"/>
              </w14:lightRig>
            </w14:scene3d>
          </w:rPr>
          <w:t>6.6</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竣工阶段</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_Toc212204771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5</w:t>
        </w:r>
        <w:r w:rsidRPr="00375EFE">
          <w:rPr>
            <w:rFonts w:hint="eastAsia"/>
            <w:noProof/>
          </w:rPr>
          <w:fldChar w:fldCharType="end"/>
        </w:r>
      </w:hyperlink>
    </w:p>
    <w:p w14:paraId="7B9B3635" w14:textId="58C8B1B5"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72" w:history="1">
        <w:r w:rsidRPr="00375EFE">
          <w:rPr>
            <w:rStyle w:val="affffd"/>
            <w:rFonts w:hint="eastAsia"/>
            <w:noProof/>
            <w14:scene3d>
              <w14:camera w14:prst="orthographicFront"/>
              <w14:lightRig w14:rig="threePt" w14:dir="t">
                <w14:rot w14:lat="0" w14:lon="0" w14:rev="0"/>
              </w14:lightRig>
            </w14:scene3d>
          </w:rPr>
          <w:t>6.7</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成本动态监控与预警</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_Toc212204772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6</w:t>
        </w:r>
        <w:r w:rsidRPr="00375EFE">
          <w:rPr>
            <w:rFonts w:hint="eastAsia"/>
            <w:noProof/>
          </w:rPr>
          <w:fldChar w:fldCharType="end"/>
        </w:r>
      </w:hyperlink>
    </w:p>
    <w:p w14:paraId="0C7B8D5D" w14:textId="26565654" w:rsidR="00375EFE" w:rsidRPr="00375EFE" w:rsidRDefault="00375E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04773" w:history="1">
        <w:r w:rsidRPr="00375EFE">
          <w:rPr>
            <w:rStyle w:val="affffd"/>
            <w:rFonts w:hint="eastAsia"/>
            <w:noProof/>
          </w:rPr>
          <w:t>7</w:t>
        </w:r>
        <w:r>
          <w:rPr>
            <w:rStyle w:val="affffd"/>
            <w:noProof/>
          </w:rPr>
          <w:t xml:space="preserve"> </w:t>
        </w:r>
        <w:r w:rsidRPr="00375EFE">
          <w:rPr>
            <w:rStyle w:val="affffd"/>
            <w:rFonts w:hint="eastAsia"/>
            <w:noProof/>
          </w:rPr>
          <w:t xml:space="preserve"> 绿色增量成本管理</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_Toc212204773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6</w:t>
        </w:r>
        <w:r w:rsidRPr="00375EFE">
          <w:rPr>
            <w:rFonts w:hint="eastAsia"/>
            <w:noProof/>
          </w:rPr>
          <w:fldChar w:fldCharType="end"/>
        </w:r>
      </w:hyperlink>
    </w:p>
    <w:p w14:paraId="7AEAD0DE" w14:textId="593AABBB"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74" w:history="1">
        <w:r w:rsidRPr="00375EFE">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识别与鉴定</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_Toc212204774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6</w:t>
        </w:r>
        <w:r w:rsidRPr="00375EFE">
          <w:rPr>
            <w:rFonts w:hint="eastAsia"/>
            <w:noProof/>
          </w:rPr>
          <w:fldChar w:fldCharType="end"/>
        </w:r>
      </w:hyperlink>
    </w:p>
    <w:p w14:paraId="1D5BDBAC" w14:textId="3ADB0F42"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75" w:history="1">
        <w:r w:rsidRPr="00375EFE">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核算</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_Toc212204775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6</w:t>
        </w:r>
        <w:r w:rsidRPr="00375EFE">
          <w:rPr>
            <w:rFonts w:hint="eastAsia"/>
            <w:noProof/>
          </w:rPr>
          <w:fldChar w:fldCharType="end"/>
        </w:r>
      </w:hyperlink>
    </w:p>
    <w:p w14:paraId="6807153F" w14:textId="00E52727"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76" w:history="1">
        <w:r w:rsidRPr="00375EFE">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优化与决策</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_Toc212204776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6</w:t>
        </w:r>
        <w:r w:rsidRPr="00375EFE">
          <w:rPr>
            <w:rFonts w:hint="eastAsia"/>
            <w:noProof/>
          </w:rPr>
          <w:fldChar w:fldCharType="end"/>
        </w:r>
      </w:hyperlink>
    </w:p>
    <w:p w14:paraId="72C701D4" w14:textId="721BC447" w:rsidR="00375EFE" w:rsidRPr="00375EFE" w:rsidRDefault="00375E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04777" w:history="1">
        <w:r w:rsidRPr="00375EFE">
          <w:rPr>
            <w:rStyle w:val="affffd"/>
            <w:rFonts w:hint="eastAsia"/>
            <w:noProof/>
          </w:rPr>
          <w:t>8</w:t>
        </w:r>
        <w:r>
          <w:rPr>
            <w:rStyle w:val="affffd"/>
            <w:noProof/>
          </w:rPr>
          <w:t xml:space="preserve"> </w:t>
        </w:r>
        <w:r w:rsidRPr="00375EFE">
          <w:rPr>
            <w:rStyle w:val="affffd"/>
            <w:rFonts w:hint="eastAsia"/>
            <w:noProof/>
          </w:rPr>
          <w:t xml:space="preserve"> 绿色建材与设备成本控制</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_Toc212204777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6</w:t>
        </w:r>
        <w:r w:rsidRPr="00375EFE">
          <w:rPr>
            <w:rFonts w:hint="eastAsia"/>
            <w:noProof/>
          </w:rPr>
          <w:fldChar w:fldCharType="end"/>
        </w:r>
      </w:hyperlink>
    </w:p>
    <w:p w14:paraId="579E0A17" w14:textId="2E45D214"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78" w:history="1">
        <w:r w:rsidRPr="00375EFE">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绿色建材采购成本控制</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_Toc212204778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6</w:t>
        </w:r>
        <w:r w:rsidRPr="00375EFE">
          <w:rPr>
            <w:rFonts w:hint="eastAsia"/>
            <w:noProof/>
          </w:rPr>
          <w:fldChar w:fldCharType="end"/>
        </w:r>
      </w:hyperlink>
    </w:p>
    <w:p w14:paraId="64F5F9BB" w14:textId="47991910"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79" w:history="1">
        <w:r w:rsidRPr="00375EFE">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设备系统成本优化</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_Toc212204779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7</w:t>
        </w:r>
        <w:r w:rsidRPr="00375EFE">
          <w:rPr>
            <w:rFonts w:hint="eastAsia"/>
            <w:noProof/>
          </w:rPr>
          <w:fldChar w:fldCharType="end"/>
        </w:r>
      </w:hyperlink>
    </w:p>
    <w:p w14:paraId="4B7A71EB" w14:textId="576365CF" w:rsidR="00375EFE" w:rsidRPr="00375EFE" w:rsidRDefault="00375E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204780" w:history="1">
        <w:r w:rsidRPr="00375EFE">
          <w:rPr>
            <w:rStyle w:val="affffd"/>
            <w:rFonts w:hint="eastAsia"/>
            <w:noProof/>
          </w:rPr>
          <w:t>9</w:t>
        </w:r>
        <w:r>
          <w:rPr>
            <w:rStyle w:val="affffd"/>
            <w:noProof/>
          </w:rPr>
          <w:t xml:space="preserve"> </w:t>
        </w:r>
        <w:r w:rsidRPr="00375EFE">
          <w:rPr>
            <w:rStyle w:val="affffd"/>
            <w:rFonts w:hint="eastAsia"/>
            <w:noProof/>
          </w:rPr>
          <w:t xml:space="preserve"> 造价数据采集与更新</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_Toc212204780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7</w:t>
        </w:r>
        <w:r w:rsidRPr="00375EFE">
          <w:rPr>
            <w:rFonts w:hint="eastAsia"/>
            <w:noProof/>
          </w:rPr>
          <w:fldChar w:fldCharType="end"/>
        </w:r>
      </w:hyperlink>
    </w:p>
    <w:p w14:paraId="33712F4B" w14:textId="1B459EBA"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81" w:history="1">
        <w:r w:rsidRPr="00375EFE">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数据采集</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_Toc212204781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7</w:t>
        </w:r>
        <w:r w:rsidRPr="00375EFE">
          <w:rPr>
            <w:rFonts w:hint="eastAsia"/>
            <w:noProof/>
          </w:rPr>
          <w:fldChar w:fldCharType="end"/>
        </w:r>
      </w:hyperlink>
    </w:p>
    <w:p w14:paraId="183031CE" w14:textId="58E707F5" w:rsidR="00375EFE" w:rsidRPr="00375EFE" w:rsidRDefault="00375EFE">
      <w:pPr>
        <w:pStyle w:val="TOC2"/>
        <w:rPr>
          <w:rFonts w:asciiTheme="minorHAnsi" w:eastAsiaTheme="minorEastAsia" w:hAnsiTheme="minorHAnsi" w:cstheme="minorBidi" w:hint="eastAsia"/>
          <w:noProof/>
          <w:sz w:val="22"/>
          <w:szCs w:val="24"/>
          <w14:ligatures w14:val="standardContextual"/>
        </w:rPr>
      </w:pPr>
      <w:hyperlink w:anchor="_Toc212204782" w:history="1">
        <w:r w:rsidRPr="00375EFE">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375EFE">
          <w:rPr>
            <w:rStyle w:val="affffd"/>
            <w:rFonts w:hint="eastAsia"/>
            <w:noProof/>
          </w:rPr>
          <w:t xml:space="preserve"> 数据更新</w:t>
        </w:r>
        <w:r w:rsidRPr="00375EFE">
          <w:rPr>
            <w:rFonts w:hint="eastAsia"/>
            <w:noProof/>
          </w:rPr>
          <w:tab/>
        </w:r>
        <w:r w:rsidRPr="00375EFE">
          <w:rPr>
            <w:rFonts w:hint="eastAsia"/>
            <w:noProof/>
          </w:rPr>
          <w:fldChar w:fldCharType="begin"/>
        </w:r>
        <w:r w:rsidRPr="00375EFE">
          <w:rPr>
            <w:rFonts w:hint="eastAsia"/>
            <w:noProof/>
          </w:rPr>
          <w:instrText xml:space="preserve"> </w:instrText>
        </w:r>
        <w:r w:rsidRPr="00375EFE">
          <w:rPr>
            <w:noProof/>
          </w:rPr>
          <w:instrText>PAGEREF _Toc212204782 \h</w:instrText>
        </w:r>
        <w:r w:rsidRPr="00375EFE">
          <w:rPr>
            <w:rFonts w:hint="eastAsia"/>
            <w:noProof/>
          </w:rPr>
          <w:instrText xml:space="preserve"> </w:instrText>
        </w:r>
        <w:r w:rsidRPr="00375EFE">
          <w:rPr>
            <w:rFonts w:hint="eastAsia"/>
            <w:noProof/>
          </w:rPr>
        </w:r>
        <w:r w:rsidRPr="00375EFE">
          <w:rPr>
            <w:rFonts w:hint="eastAsia"/>
            <w:noProof/>
          </w:rPr>
          <w:fldChar w:fldCharType="separate"/>
        </w:r>
        <w:r w:rsidRPr="00375EFE">
          <w:rPr>
            <w:noProof/>
          </w:rPr>
          <w:t>7</w:t>
        </w:r>
        <w:r w:rsidRPr="00375EFE">
          <w:rPr>
            <w:rFonts w:hint="eastAsia"/>
            <w:noProof/>
          </w:rPr>
          <w:fldChar w:fldCharType="end"/>
        </w:r>
      </w:hyperlink>
    </w:p>
    <w:p w14:paraId="039FC4D0" w14:textId="0BF37259" w:rsidR="00375EFE" w:rsidRPr="00375EFE" w:rsidRDefault="00375EFE" w:rsidP="00375EFE">
      <w:pPr>
        <w:pStyle w:val="affffffc"/>
        <w:spacing w:after="360"/>
        <w:sectPr w:rsidR="00375EFE" w:rsidRPr="00375EFE" w:rsidSect="00375EFE">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375EFE">
        <w:fldChar w:fldCharType="end"/>
      </w:r>
    </w:p>
    <w:p w14:paraId="04F0682A" w14:textId="77777777" w:rsidR="008E68C3" w:rsidRDefault="00000000">
      <w:pPr>
        <w:pStyle w:val="a6"/>
        <w:spacing w:before="850" w:afterLines="0" w:after="680"/>
      </w:pPr>
      <w:bookmarkStart w:id="4" w:name="_Toc212204753"/>
      <w:bookmarkStart w:id="5" w:name="BookMark2"/>
      <w:bookmarkEnd w:id="0"/>
      <w:r>
        <w:rPr>
          <w:rFonts w:hint="eastAsia"/>
        </w:rPr>
        <w:lastRenderedPageBreak/>
        <w:t>前</w:t>
      </w:r>
      <w:r>
        <w:t>言</w:t>
      </w:r>
      <w:bookmarkEnd w:id="1"/>
      <w:bookmarkEnd w:id="2"/>
      <w:bookmarkEnd w:id="3"/>
      <w:bookmarkEnd w:id="4"/>
    </w:p>
    <w:p w14:paraId="15D8BEDF" w14:textId="77777777" w:rsidR="008E68C3" w:rsidRDefault="00000000">
      <w:pPr>
        <w:pStyle w:val="afffff7"/>
        <w:ind w:firstLine="420"/>
      </w:pPr>
      <w:r>
        <w:rPr>
          <w:rFonts w:hint="eastAsia"/>
        </w:rPr>
        <w:t>本文件按照GB/T 1.1—2020《标准化工作导则  第1部分：标准化文件的结构和起草规则》的规定起草。</w:t>
      </w:r>
    </w:p>
    <w:p w14:paraId="371F250C" w14:textId="77777777" w:rsidR="008E68C3" w:rsidRDefault="00000000">
      <w:pPr>
        <w:pStyle w:val="afffff7"/>
        <w:ind w:firstLine="420"/>
      </w:pPr>
      <w:r>
        <w:rPr>
          <w:rFonts w:hint="eastAsia"/>
        </w:rPr>
        <w:t>请注意本文件的某些内容可能涉及专利。本文件的发布机构不承担识别专利的责任。</w:t>
      </w:r>
    </w:p>
    <w:p w14:paraId="40DD0220" w14:textId="77777777" w:rsidR="008E68C3" w:rsidRDefault="00000000">
      <w:pPr>
        <w:pStyle w:val="afffff7"/>
        <w:ind w:firstLine="420"/>
      </w:pPr>
      <w:r>
        <w:rPr>
          <w:rFonts w:hint="eastAsia"/>
        </w:rPr>
        <w:t>本文件由中国西部开发促进会提出并归口。</w:t>
      </w:r>
    </w:p>
    <w:p w14:paraId="79A75D96" w14:textId="1F4F647F" w:rsidR="008E68C3" w:rsidRDefault="00000000">
      <w:pPr>
        <w:pStyle w:val="afffff7"/>
        <w:ind w:firstLine="420"/>
      </w:pPr>
      <w:r>
        <w:rPr>
          <w:rFonts w:hint="eastAsia"/>
        </w:rPr>
        <w:t>本文件起草单位：</w:t>
      </w:r>
      <w:r w:rsidR="008319F1" w:rsidRPr="008319F1">
        <w:rPr>
          <w:rFonts w:hint="eastAsia"/>
        </w:rPr>
        <w:t>扬州兴佳工程造价咨询有限公司</w:t>
      </w:r>
      <w:r>
        <w:rPr>
          <w:rFonts w:hint="eastAsia"/>
        </w:rPr>
        <w:t>。</w:t>
      </w:r>
    </w:p>
    <w:p w14:paraId="24BE4D23" w14:textId="77777777" w:rsidR="008E68C3" w:rsidRDefault="00000000">
      <w:pPr>
        <w:pStyle w:val="afffff7"/>
        <w:ind w:firstLine="420"/>
      </w:pPr>
      <w:r>
        <w:rPr>
          <w:rFonts w:hint="eastAsia"/>
        </w:rPr>
        <w:t>本文件主要起草人：。</w:t>
      </w:r>
    </w:p>
    <w:p w14:paraId="33A2051E" w14:textId="77777777" w:rsidR="008E68C3" w:rsidRDefault="00000000">
      <w:pPr>
        <w:pStyle w:val="afffff7"/>
        <w:ind w:firstLine="420"/>
      </w:pPr>
      <w:r>
        <w:rPr>
          <w:rFonts w:hint="eastAsia"/>
        </w:rPr>
        <w:t>本文件为首次发布。</w:t>
      </w:r>
    </w:p>
    <w:p w14:paraId="69AB1BB9" w14:textId="77777777" w:rsidR="008E68C3" w:rsidRDefault="008E68C3">
      <w:pPr>
        <w:pStyle w:val="afffff7"/>
        <w:ind w:firstLine="420"/>
      </w:pPr>
    </w:p>
    <w:p w14:paraId="64538184" w14:textId="77777777" w:rsidR="008E68C3" w:rsidRDefault="008E68C3">
      <w:pPr>
        <w:pStyle w:val="afffff7"/>
        <w:ind w:firstLine="420"/>
        <w:sectPr w:rsidR="008E68C3">
          <w:pgSz w:w="11906" w:h="16838"/>
          <w:pgMar w:top="1928" w:right="1134" w:bottom="1134" w:left="1134" w:header="1418" w:footer="1134" w:gutter="284"/>
          <w:pgNumType w:fmt="upperRoman"/>
          <w:cols w:space="425"/>
          <w:formProt w:val="0"/>
          <w:docGrid w:linePitch="312"/>
        </w:sectPr>
      </w:pPr>
    </w:p>
    <w:p w14:paraId="729C81B6" w14:textId="77777777" w:rsidR="008E68C3" w:rsidRDefault="008E68C3">
      <w:pPr>
        <w:spacing w:line="20" w:lineRule="exact"/>
        <w:jc w:val="center"/>
        <w:rPr>
          <w:rFonts w:ascii="黑体" w:eastAsia="黑体" w:hAnsi="黑体" w:hint="eastAsia"/>
          <w:sz w:val="32"/>
          <w:szCs w:val="32"/>
        </w:rPr>
      </w:pPr>
      <w:bookmarkStart w:id="6" w:name="BookMark4"/>
      <w:bookmarkEnd w:id="5"/>
    </w:p>
    <w:p w14:paraId="79291E5F" w14:textId="77777777" w:rsidR="008E68C3" w:rsidRDefault="008E68C3">
      <w:pPr>
        <w:spacing w:line="20" w:lineRule="exact"/>
        <w:jc w:val="center"/>
        <w:rPr>
          <w:rFonts w:ascii="黑体" w:eastAsia="黑体" w:hAnsi="黑体" w:hint="eastAsia"/>
          <w:sz w:val="32"/>
          <w:szCs w:val="32"/>
        </w:rPr>
      </w:pPr>
    </w:p>
    <w:p w14:paraId="397F1B12" w14:textId="3B722BE4" w:rsidR="008E68C3" w:rsidRDefault="007E6DD4">
      <w:pPr>
        <w:pStyle w:val="a6"/>
        <w:spacing w:before="850" w:afterLines="0" w:after="680"/>
        <w:ind w:left="0" w:firstLine="0"/>
        <w:outlineLvl w:val="9"/>
      </w:pPr>
      <w:bookmarkStart w:id="7" w:name="_Toc212204691"/>
      <w:bookmarkStart w:id="8" w:name="_Toc212204754"/>
      <w:bookmarkStart w:id="9" w:name="_Toc26718930"/>
      <w:bookmarkStart w:id="10" w:name="NEW_STAND_NAME"/>
      <w:bookmarkStart w:id="11" w:name="_Toc26986771"/>
      <w:bookmarkStart w:id="12" w:name="_Toc97192964"/>
      <w:bookmarkStart w:id="13" w:name="_Toc17233325"/>
      <w:bookmarkStart w:id="14" w:name="_Toc113284169"/>
      <w:bookmarkStart w:id="15" w:name="_Toc26648465"/>
      <w:bookmarkStart w:id="16" w:name="_Toc24884218"/>
      <w:bookmarkStart w:id="17" w:name="_Toc24884211"/>
      <w:bookmarkStart w:id="18" w:name="_Toc17233333"/>
      <w:bookmarkStart w:id="19" w:name="_Toc26986530"/>
      <w:r w:rsidRPr="007E6DD4">
        <w:rPr>
          <w:rFonts w:hint="eastAsia"/>
        </w:rPr>
        <w:t>绿色建筑工程造价指标与成本控制规范</w:t>
      </w:r>
      <w:bookmarkEnd w:id="7"/>
      <w:bookmarkEnd w:id="8"/>
    </w:p>
    <w:p w14:paraId="5C3E656B" w14:textId="77777777" w:rsidR="008E68C3" w:rsidRDefault="00000000">
      <w:pPr>
        <w:pStyle w:val="affc"/>
        <w:spacing w:before="240" w:after="240"/>
      </w:pPr>
      <w:bookmarkStart w:id="20" w:name="_Toc18263"/>
      <w:bookmarkStart w:id="21" w:name="_Toc24419"/>
      <w:bookmarkStart w:id="22" w:name="_Toc23108"/>
      <w:bookmarkStart w:id="23" w:name="_Toc113282590"/>
      <w:bookmarkStart w:id="24" w:name="_Toc7073"/>
      <w:bookmarkStart w:id="25" w:name="_Toc212204692"/>
      <w:bookmarkStart w:id="26" w:name="_Toc212204755"/>
      <w:bookmarkEnd w:id="9"/>
      <w:bookmarkEnd w:id="10"/>
      <w:bookmarkEnd w:id="11"/>
      <w:bookmarkEnd w:id="12"/>
      <w:bookmarkEnd w:id="13"/>
      <w:bookmarkEnd w:id="14"/>
      <w:bookmarkEnd w:id="15"/>
      <w:bookmarkEnd w:id="16"/>
      <w:bookmarkEnd w:id="17"/>
      <w:bookmarkEnd w:id="18"/>
      <w:bookmarkEnd w:id="19"/>
      <w:r>
        <w:rPr>
          <w:rFonts w:hint="eastAsia"/>
        </w:rPr>
        <w:t>范围</w:t>
      </w:r>
      <w:bookmarkEnd w:id="20"/>
      <w:bookmarkEnd w:id="21"/>
      <w:bookmarkEnd w:id="22"/>
      <w:bookmarkEnd w:id="23"/>
      <w:bookmarkEnd w:id="24"/>
      <w:bookmarkEnd w:id="25"/>
      <w:bookmarkEnd w:id="26"/>
    </w:p>
    <w:p w14:paraId="60C59894" w14:textId="29C73775" w:rsidR="008E68C3" w:rsidRDefault="00000000">
      <w:pPr>
        <w:pStyle w:val="afffff7"/>
        <w:ind w:firstLine="420"/>
      </w:pPr>
      <w:bookmarkStart w:id="27" w:name="_Toc24884219"/>
      <w:bookmarkStart w:id="28" w:name="_Toc26648466"/>
      <w:bookmarkStart w:id="29" w:name="_Toc17233326"/>
      <w:bookmarkStart w:id="30" w:name="_Toc24884212"/>
      <w:bookmarkStart w:id="31" w:name="_Toc17233334"/>
      <w:r>
        <w:rPr>
          <w:rFonts w:hint="eastAsia"/>
        </w:rPr>
        <w:t>本文件规定了</w:t>
      </w:r>
      <w:r w:rsidR="00A841C2" w:rsidRPr="00A841C2">
        <w:rPr>
          <w:rFonts w:hint="eastAsia"/>
        </w:rPr>
        <w:t>绿色建筑工程造价指标的构成与分类、成本控制的基本原则与各方职责、各阶段成本控制要求、绿色增量成本管理、数字化与协同管理以及造价数据的采集与更新</w:t>
      </w:r>
      <w:r>
        <w:rPr>
          <w:rFonts w:hint="eastAsia"/>
        </w:rPr>
        <w:t>。</w:t>
      </w:r>
    </w:p>
    <w:p w14:paraId="177B5663" w14:textId="5C9E6898" w:rsidR="008E68C3" w:rsidRDefault="00000000">
      <w:pPr>
        <w:pStyle w:val="afffff7"/>
        <w:ind w:firstLine="420"/>
      </w:pPr>
      <w:r>
        <w:rPr>
          <w:rFonts w:hint="eastAsia"/>
        </w:rPr>
        <w:t>本文件适用于</w:t>
      </w:r>
      <w:r w:rsidR="00A841C2" w:rsidRPr="00A841C2">
        <w:rPr>
          <w:rFonts w:hint="eastAsia"/>
        </w:rPr>
        <w:t>新建、改建和扩建的绿色民用建筑项目在投资决策、设计、招投标、施工、竣工结算等阶段的工程造价确定与成本控制</w:t>
      </w:r>
      <w:r>
        <w:rPr>
          <w:rFonts w:hint="eastAsia"/>
        </w:rPr>
        <w:t>。</w:t>
      </w:r>
    </w:p>
    <w:p w14:paraId="71ADC7AA" w14:textId="77777777" w:rsidR="008E68C3" w:rsidRDefault="00000000">
      <w:pPr>
        <w:pStyle w:val="affc"/>
        <w:spacing w:before="240" w:after="240"/>
      </w:pPr>
      <w:bookmarkStart w:id="32" w:name="_Toc29984"/>
      <w:bookmarkStart w:id="33" w:name="_Toc1048"/>
      <w:bookmarkStart w:id="34" w:name="_Toc97192965"/>
      <w:bookmarkStart w:id="35" w:name="_Toc113282591"/>
      <w:bookmarkStart w:id="36" w:name="_Toc26986531"/>
      <w:bookmarkStart w:id="37" w:name="_Toc26986772"/>
      <w:bookmarkStart w:id="38" w:name="_Toc13917"/>
      <w:bookmarkStart w:id="39" w:name="_Toc19575"/>
      <w:bookmarkStart w:id="40" w:name="_Toc26718931"/>
      <w:bookmarkStart w:id="41" w:name="_Toc212204693"/>
      <w:bookmarkStart w:id="42" w:name="_Toc212204756"/>
      <w:r>
        <w:rPr>
          <w:rFonts w:hint="eastAsia"/>
        </w:rPr>
        <w:t>规范性引用文件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2D1AB56" w14:textId="77777777" w:rsidR="008E68C3"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3" w:name="_Toc97192966"/>
      <w:bookmarkStart w:id="44" w:name="_Toc113282592"/>
    </w:p>
    <w:p w14:paraId="356CC7CA" w14:textId="038E15C0" w:rsidR="002E137F" w:rsidRPr="002E137F" w:rsidRDefault="002E137F">
      <w:pPr>
        <w:autoSpaceDE w:val="0"/>
        <w:autoSpaceDN w:val="0"/>
        <w:spacing w:line="240" w:lineRule="auto"/>
        <w:ind w:firstLineChars="200" w:firstLine="420"/>
        <w:rPr>
          <w:rFonts w:ascii="宋体" w:hAnsi="宋体" w:cs="宋体" w:hint="eastAsia"/>
        </w:rPr>
      </w:pPr>
      <w:r w:rsidRPr="002E137F">
        <w:rPr>
          <w:rFonts w:ascii="宋体" w:hAnsi="宋体" w:cs="宋体"/>
        </w:rPr>
        <w:t>GB 19762</w:t>
      </w:r>
      <w:r>
        <w:rPr>
          <w:rFonts w:ascii="宋体" w:hAnsi="宋体" w:cs="宋体" w:hint="eastAsia"/>
        </w:rPr>
        <w:t xml:space="preserve"> </w:t>
      </w:r>
      <w:r w:rsidRPr="002E137F">
        <w:rPr>
          <w:rFonts w:ascii="宋体" w:hAnsi="宋体" w:cs="宋体" w:hint="eastAsia"/>
        </w:rPr>
        <w:t>清水离心泵能效限定值及节能评价值</w:t>
      </w:r>
    </w:p>
    <w:p w14:paraId="33004964" w14:textId="67B8BE63" w:rsidR="002E137F" w:rsidRDefault="002E137F">
      <w:pPr>
        <w:autoSpaceDE w:val="0"/>
        <w:autoSpaceDN w:val="0"/>
        <w:spacing w:line="240" w:lineRule="auto"/>
        <w:ind w:firstLineChars="200" w:firstLine="420"/>
        <w:rPr>
          <w:rFonts w:ascii="宋体" w:hAnsi="宋体" w:cs="宋体" w:hint="eastAsia"/>
        </w:rPr>
      </w:pPr>
      <w:r w:rsidRPr="002E137F">
        <w:rPr>
          <w:rFonts w:ascii="宋体" w:hAnsi="宋体" w:cs="宋体"/>
        </w:rPr>
        <w:t>GB/T 33761</w:t>
      </w:r>
      <w:r>
        <w:rPr>
          <w:rFonts w:ascii="宋体" w:hAnsi="宋体" w:cs="宋体" w:hint="eastAsia"/>
        </w:rPr>
        <w:t xml:space="preserve"> </w:t>
      </w:r>
      <w:r w:rsidRPr="002E137F">
        <w:rPr>
          <w:rFonts w:ascii="宋体" w:hAnsi="宋体" w:cs="宋体" w:hint="eastAsia"/>
        </w:rPr>
        <w:t>绿色产品评价通则</w:t>
      </w:r>
    </w:p>
    <w:p w14:paraId="408279A7" w14:textId="58019978" w:rsidR="002E137F" w:rsidRPr="002E137F" w:rsidRDefault="002E137F">
      <w:pPr>
        <w:autoSpaceDE w:val="0"/>
        <w:autoSpaceDN w:val="0"/>
        <w:spacing w:line="240" w:lineRule="auto"/>
        <w:ind w:firstLineChars="200" w:firstLine="420"/>
        <w:rPr>
          <w:rFonts w:ascii="宋体" w:hAnsi="宋体" w:cs="宋体" w:hint="eastAsia"/>
        </w:rPr>
      </w:pPr>
      <w:r w:rsidRPr="002E137F">
        <w:rPr>
          <w:rFonts w:ascii="宋体" w:hAnsi="宋体" w:cs="宋体"/>
        </w:rPr>
        <w:t>GB 50189</w:t>
      </w:r>
      <w:r>
        <w:rPr>
          <w:rFonts w:ascii="宋体" w:hAnsi="宋体" w:cs="宋体" w:hint="eastAsia"/>
        </w:rPr>
        <w:t xml:space="preserve"> </w:t>
      </w:r>
      <w:r w:rsidRPr="002E137F">
        <w:rPr>
          <w:rFonts w:ascii="宋体" w:hAnsi="宋体" w:cs="宋体" w:hint="eastAsia"/>
        </w:rPr>
        <w:t>公共建筑节能设计标准</w:t>
      </w:r>
    </w:p>
    <w:p w14:paraId="0A6D394A" w14:textId="7DF82069" w:rsidR="008E68C3" w:rsidRDefault="002E137F">
      <w:pPr>
        <w:autoSpaceDE w:val="0"/>
        <w:autoSpaceDN w:val="0"/>
        <w:spacing w:line="240" w:lineRule="auto"/>
        <w:ind w:firstLineChars="200" w:firstLine="420"/>
        <w:rPr>
          <w:rFonts w:ascii="宋体" w:hAnsi="宋体" w:cs="宋体" w:hint="eastAsia"/>
        </w:rPr>
      </w:pPr>
      <w:r w:rsidRPr="002E137F">
        <w:rPr>
          <w:rFonts w:ascii="宋体" w:hAnsi="宋体" w:cs="宋体"/>
        </w:rPr>
        <w:t>GB/T 50378</w:t>
      </w:r>
      <w:r>
        <w:rPr>
          <w:rFonts w:ascii="宋体" w:hAnsi="宋体" w:cs="宋体"/>
        </w:rPr>
        <w:t xml:space="preserve"> </w:t>
      </w:r>
      <w:r w:rsidRPr="002E137F">
        <w:rPr>
          <w:rFonts w:ascii="宋体" w:hAnsi="宋体" w:cs="宋体" w:hint="eastAsia"/>
        </w:rPr>
        <w:t>绿色建筑评价标准（2024年版）</w:t>
      </w:r>
    </w:p>
    <w:p w14:paraId="430F64C6" w14:textId="14022115" w:rsidR="002E137F" w:rsidRPr="002E137F" w:rsidRDefault="002E137F">
      <w:pPr>
        <w:autoSpaceDE w:val="0"/>
        <w:autoSpaceDN w:val="0"/>
        <w:spacing w:line="240" w:lineRule="auto"/>
        <w:ind w:firstLineChars="200" w:firstLine="420"/>
        <w:rPr>
          <w:rFonts w:ascii="宋体" w:hAnsi="宋体" w:cs="宋体" w:hint="eastAsia"/>
        </w:rPr>
      </w:pPr>
      <w:r w:rsidRPr="002E137F">
        <w:rPr>
          <w:rFonts w:ascii="宋体" w:hAnsi="宋体" w:cs="宋体"/>
        </w:rPr>
        <w:t>GB 55015</w:t>
      </w:r>
      <w:r>
        <w:rPr>
          <w:rFonts w:ascii="宋体" w:hAnsi="宋体" w:cs="宋体" w:hint="eastAsia"/>
        </w:rPr>
        <w:t xml:space="preserve"> </w:t>
      </w:r>
      <w:r w:rsidRPr="002E137F">
        <w:rPr>
          <w:rFonts w:ascii="宋体" w:hAnsi="宋体" w:cs="宋体" w:hint="eastAsia"/>
        </w:rPr>
        <w:t>建筑节能与可再生能源利用通用规范</w:t>
      </w:r>
    </w:p>
    <w:p w14:paraId="1B3B88F4" w14:textId="77777777" w:rsidR="008E68C3" w:rsidRDefault="00000000">
      <w:pPr>
        <w:pStyle w:val="affc"/>
        <w:spacing w:before="240" w:after="240"/>
      </w:pPr>
      <w:bookmarkStart w:id="45" w:name="_Toc11391"/>
      <w:bookmarkStart w:id="46" w:name="_Toc6287"/>
      <w:bookmarkStart w:id="47" w:name="_Toc2656"/>
      <w:bookmarkStart w:id="48" w:name="_Toc4140"/>
      <w:bookmarkStart w:id="49" w:name="_Toc212204694"/>
      <w:bookmarkStart w:id="50" w:name="_Toc212204757"/>
      <w:r>
        <w:rPr>
          <w:rFonts w:hint="eastAsia"/>
          <w:szCs w:val="21"/>
        </w:rPr>
        <w:t>术语和定义</w:t>
      </w:r>
      <w:bookmarkEnd w:id="43"/>
      <w:bookmarkEnd w:id="44"/>
      <w:bookmarkEnd w:id="45"/>
      <w:bookmarkEnd w:id="46"/>
      <w:bookmarkEnd w:id="47"/>
      <w:bookmarkEnd w:id="48"/>
      <w:bookmarkEnd w:id="49"/>
      <w:bookmarkEnd w:id="50"/>
    </w:p>
    <w:p w14:paraId="5601AD8A" w14:textId="77777777" w:rsidR="008E68C3" w:rsidRDefault="00000000">
      <w:pPr>
        <w:pStyle w:val="afffff7"/>
        <w:ind w:firstLine="420"/>
      </w:pPr>
      <w:r>
        <w:rPr>
          <w:rFonts w:hint="eastAsia"/>
        </w:rPr>
        <w:t>下列术语和定义适用于本文件。</w:t>
      </w:r>
    </w:p>
    <w:p w14:paraId="37C845A1" w14:textId="256756C5" w:rsidR="009A6B7E" w:rsidRPr="009A6B7E" w:rsidRDefault="009A6B7E" w:rsidP="009A6B7E">
      <w:pPr>
        <w:pStyle w:val="afffffffffff6"/>
        <w:ind w:left="420" w:hangingChars="200" w:hanging="420"/>
        <w:rPr>
          <w:rFonts w:ascii="黑体" w:eastAsia="黑体" w:hAnsi="黑体" w:hint="eastAsia"/>
        </w:rPr>
      </w:pPr>
      <w:r w:rsidRPr="009A6B7E">
        <w:rPr>
          <w:rFonts w:ascii="黑体" w:eastAsia="黑体" w:hAnsi="黑体"/>
        </w:rPr>
        <w:br/>
      </w:r>
      <w:r>
        <w:rPr>
          <w:rFonts w:ascii="黑体" w:eastAsia="黑体" w:hAnsi="黑体" w:hint="eastAsia"/>
        </w:rPr>
        <w:t>绿色建筑工程造价指标 cost indicators for green building projects</w:t>
      </w:r>
    </w:p>
    <w:p w14:paraId="2339BCDF" w14:textId="5C7AFA71" w:rsidR="009A6B7E" w:rsidRDefault="009A6B7E" w:rsidP="009A6B7E">
      <w:pPr>
        <w:pStyle w:val="afffff7"/>
        <w:ind w:firstLine="420"/>
      </w:pPr>
      <w:r w:rsidRPr="009A6B7E">
        <w:rPr>
          <w:rFonts w:hint="eastAsia"/>
        </w:rPr>
        <w:t>反映绿色建筑在特定时期、特定地域范围内，完成单位工程量、单位功能面积或单个计量单位建筑产品所消耗的人工、材料、机械台班、技术措施及管理费用的标准。</w:t>
      </w:r>
    </w:p>
    <w:p w14:paraId="75D0BDB5" w14:textId="0B0E258E" w:rsidR="009A6B7E" w:rsidRPr="009A6B7E" w:rsidRDefault="009A6B7E" w:rsidP="009A6B7E">
      <w:pPr>
        <w:pStyle w:val="afffffffffff6"/>
        <w:ind w:left="420" w:hangingChars="200" w:hanging="420"/>
        <w:rPr>
          <w:rFonts w:ascii="黑体" w:eastAsia="黑体" w:hAnsi="黑体" w:hint="eastAsia"/>
        </w:rPr>
      </w:pPr>
      <w:r w:rsidRPr="009A6B7E">
        <w:rPr>
          <w:rFonts w:ascii="黑体" w:eastAsia="黑体" w:hAnsi="黑体"/>
        </w:rPr>
        <w:br/>
      </w:r>
      <w:r>
        <w:rPr>
          <w:rFonts w:ascii="黑体" w:eastAsia="黑体" w:hAnsi="黑体" w:hint="eastAsia"/>
        </w:rPr>
        <w:t>绿色增量成本 green incremental cost</w:t>
      </w:r>
    </w:p>
    <w:p w14:paraId="0431946B" w14:textId="180D1BBE" w:rsidR="009A6B7E" w:rsidRDefault="009A6B7E" w:rsidP="009A6B7E">
      <w:pPr>
        <w:pStyle w:val="afffff7"/>
        <w:ind w:firstLine="420"/>
      </w:pPr>
      <w:r w:rsidRPr="009A6B7E">
        <w:rPr>
          <w:rFonts w:hint="eastAsia"/>
        </w:rPr>
        <w:t>为达到特定绿色建筑星级标准，在初始建安工程造价中，相较于满足项目所在地现行强制性建筑节能、环保、安全等标准的基础方案（基准方案）所增加的费用。</w:t>
      </w:r>
    </w:p>
    <w:p w14:paraId="19C82D94" w14:textId="578D2F08" w:rsidR="00275F15" w:rsidRPr="00275F15" w:rsidRDefault="009A6B7E" w:rsidP="00275F15">
      <w:pPr>
        <w:pStyle w:val="afffffffffff6"/>
        <w:ind w:left="420" w:hangingChars="200" w:hanging="420"/>
        <w:rPr>
          <w:rFonts w:ascii="黑体" w:eastAsia="黑体" w:hAnsi="黑体" w:hint="eastAsia"/>
        </w:rPr>
      </w:pPr>
      <w:r w:rsidRPr="009A6B7E">
        <w:rPr>
          <w:rFonts w:ascii="黑体" w:eastAsia="黑体" w:hAnsi="黑体"/>
        </w:rPr>
        <w:br/>
      </w:r>
      <w:r>
        <w:rPr>
          <w:rFonts w:ascii="黑体" w:eastAsia="黑体" w:hAnsi="黑体" w:hint="eastAsia"/>
        </w:rPr>
        <w:t>价值工程</w:t>
      </w:r>
      <w:r w:rsidR="00275F15">
        <w:rPr>
          <w:rFonts w:ascii="黑体" w:eastAsia="黑体" w:hAnsi="黑体" w:hint="eastAsia"/>
        </w:rPr>
        <w:t xml:space="preserve"> value engineering</w:t>
      </w:r>
    </w:p>
    <w:p w14:paraId="7FD0BD21" w14:textId="687FF070" w:rsidR="009A6B7E" w:rsidRPr="009A6B7E" w:rsidRDefault="009A6B7E" w:rsidP="009A6B7E">
      <w:pPr>
        <w:pStyle w:val="afffff7"/>
        <w:ind w:firstLine="420"/>
      </w:pPr>
      <w:r w:rsidRPr="009A6B7E">
        <w:rPr>
          <w:rFonts w:hint="eastAsia"/>
        </w:rPr>
        <w:t>通过各相关领域的协作，对所研究对象的功能与费用进行系统分析，旨在提高研究对象价值的一种管理技术。</w:t>
      </w:r>
    </w:p>
    <w:p w14:paraId="37D3CB3D" w14:textId="7DD162F6" w:rsidR="008E68C3" w:rsidRDefault="00A841C2" w:rsidP="00A841C2">
      <w:pPr>
        <w:pStyle w:val="affc"/>
        <w:spacing w:before="240" w:after="240"/>
      </w:pPr>
      <w:bookmarkStart w:id="51" w:name="_Toc30049"/>
      <w:bookmarkStart w:id="52" w:name="_Toc18256"/>
      <w:bookmarkStart w:id="53" w:name="_Toc13894"/>
      <w:bookmarkStart w:id="54" w:name="_Toc212204695"/>
      <w:bookmarkStart w:id="55" w:name="_Toc212204758"/>
      <w:bookmarkEnd w:id="51"/>
      <w:bookmarkEnd w:id="52"/>
      <w:bookmarkEnd w:id="53"/>
      <w:r>
        <w:rPr>
          <w:rFonts w:hint="eastAsia"/>
        </w:rPr>
        <w:t>基本规定</w:t>
      </w:r>
      <w:bookmarkEnd w:id="54"/>
      <w:bookmarkEnd w:id="55"/>
    </w:p>
    <w:p w14:paraId="5F32B4C5" w14:textId="54C532C1" w:rsidR="00A841C2" w:rsidRDefault="00A841C2" w:rsidP="00A841C2">
      <w:pPr>
        <w:pStyle w:val="affd"/>
        <w:spacing w:before="120" w:after="120"/>
      </w:pPr>
      <w:bookmarkStart w:id="56" w:name="_Toc212204696"/>
      <w:bookmarkStart w:id="57" w:name="_Toc212204759"/>
      <w:r>
        <w:rPr>
          <w:rFonts w:hint="eastAsia"/>
        </w:rPr>
        <w:t>基本原则</w:t>
      </w:r>
      <w:bookmarkEnd w:id="56"/>
      <w:bookmarkEnd w:id="57"/>
    </w:p>
    <w:p w14:paraId="434C58B3" w14:textId="77777777" w:rsidR="00A841C2" w:rsidRDefault="00A841C2" w:rsidP="00A841C2">
      <w:pPr>
        <w:pStyle w:val="afffffffff3"/>
      </w:pPr>
      <w:r>
        <w:rPr>
          <w:rFonts w:hint="eastAsia"/>
        </w:rPr>
        <w:t>全生命期成本最优原则：成本控制应统筹考虑项目的初始建造成本与未来运营维护成本，通过技术经济分析，实现项目全生命期综合效益最大化。</w:t>
      </w:r>
    </w:p>
    <w:p w14:paraId="62F39B33" w14:textId="448DEBF3" w:rsidR="00A841C2" w:rsidRDefault="00A841C2" w:rsidP="00A841C2">
      <w:pPr>
        <w:pStyle w:val="afffffffff3"/>
      </w:pPr>
      <w:r>
        <w:rPr>
          <w:rFonts w:hint="eastAsia"/>
        </w:rPr>
        <w:t>技术与经济相结合原则：成本控制决策必须与绿色建筑技术方案进行深度融合，对关键技术措施进行多方案的功能、成本与效益比选。</w:t>
      </w:r>
    </w:p>
    <w:p w14:paraId="3695DB01" w14:textId="13A1A179" w:rsidR="00A841C2" w:rsidRDefault="00A841C2" w:rsidP="00A841C2">
      <w:pPr>
        <w:pStyle w:val="afffffffff3"/>
      </w:pPr>
      <w:r>
        <w:rPr>
          <w:rFonts w:hint="eastAsia"/>
        </w:rPr>
        <w:t>目标管理与过程控制原则：建立以投资估算为上限、逐级控制的目标成本体系，并在项目实施</w:t>
      </w:r>
      <w:r>
        <w:rPr>
          <w:rFonts w:hint="eastAsia"/>
        </w:rPr>
        <w:lastRenderedPageBreak/>
        <w:t>全过程进行动态监控、分析与纠偏。</w:t>
      </w:r>
    </w:p>
    <w:p w14:paraId="22C9CDBE" w14:textId="3ABC4A6B" w:rsidR="00A841C2" w:rsidRDefault="00A841C2" w:rsidP="00A841C2">
      <w:pPr>
        <w:pStyle w:val="afffffffff3"/>
      </w:pPr>
      <w:r>
        <w:rPr>
          <w:rFonts w:hint="eastAsia"/>
        </w:rPr>
        <w:t>数据驱动与持续改进原则：造价指标的确定与成本控制活动应基于真实、准确的历史数据和实时数据，并建立数据反馈机制以持续优化成本数据库。</w:t>
      </w:r>
    </w:p>
    <w:p w14:paraId="10EFF6BA" w14:textId="716B4E11" w:rsidR="00A841C2" w:rsidRDefault="00A841C2" w:rsidP="00A841C2">
      <w:pPr>
        <w:pStyle w:val="affd"/>
        <w:spacing w:before="120" w:after="120"/>
      </w:pPr>
      <w:bookmarkStart w:id="58" w:name="_Toc212204697"/>
      <w:bookmarkStart w:id="59" w:name="_Toc212204760"/>
      <w:r>
        <w:rPr>
          <w:rFonts w:hint="eastAsia"/>
        </w:rPr>
        <w:t>主要影响因素</w:t>
      </w:r>
      <w:bookmarkEnd w:id="58"/>
      <w:bookmarkEnd w:id="59"/>
    </w:p>
    <w:p w14:paraId="76ACB1EE" w14:textId="77777777" w:rsidR="00A841C2" w:rsidRDefault="00A841C2" w:rsidP="00A841C2">
      <w:pPr>
        <w:pStyle w:val="afffffffff3"/>
      </w:pPr>
      <w:r>
        <w:rPr>
          <w:rFonts w:hint="eastAsia"/>
        </w:rPr>
        <w:t>项目目标绿色建筑星级（基本级、一星级、二星级、三星级）。</w:t>
      </w:r>
    </w:p>
    <w:p w14:paraId="5A32DBB7" w14:textId="5E1A79FF" w:rsidR="00A841C2" w:rsidRDefault="00A841C2" w:rsidP="00A841C2">
      <w:pPr>
        <w:pStyle w:val="afffffffff3"/>
      </w:pPr>
      <w:r>
        <w:rPr>
          <w:rFonts w:hint="eastAsia"/>
        </w:rPr>
        <w:t>项目所在地的气候分区、资源禀赋、生态环境要求及地方性激励政策。</w:t>
      </w:r>
    </w:p>
    <w:p w14:paraId="6C23D6D1" w14:textId="38C71BCE" w:rsidR="00A841C2" w:rsidRDefault="00A841C2" w:rsidP="00A841C2">
      <w:pPr>
        <w:pStyle w:val="afffffffff3"/>
      </w:pPr>
      <w:r>
        <w:rPr>
          <w:rFonts w:hint="eastAsia"/>
        </w:rPr>
        <w:t>项目选用的绿色建筑技术体系、材料与设备的性能等级、市场供应情况及技术成熟度。</w:t>
      </w:r>
    </w:p>
    <w:p w14:paraId="35F4F9E0" w14:textId="49828474" w:rsidR="00A841C2" w:rsidRDefault="00A841C2" w:rsidP="00A841C2">
      <w:pPr>
        <w:pStyle w:val="afffffffff3"/>
      </w:pPr>
      <w:r>
        <w:rPr>
          <w:rFonts w:hint="eastAsia"/>
        </w:rPr>
        <w:t>项目的建设规模、建筑结构形式、功能复杂程度及场地条件。</w:t>
      </w:r>
    </w:p>
    <w:p w14:paraId="35C43BF8" w14:textId="2F202F15" w:rsidR="00A841C2" w:rsidRPr="00A841C2" w:rsidRDefault="00A841C2" w:rsidP="00A841C2">
      <w:pPr>
        <w:pStyle w:val="afffffffff3"/>
      </w:pPr>
      <w:r>
        <w:rPr>
          <w:rFonts w:hint="eastAsia"/>
        </w:rPr>
        <w:t>项目的建设周期、融资成本及建筑市场人工、材料价格的波动周期。</w:t>
      </w:r>
    </w:p>
    <w:p w14:paraId="0B14F6D7" w14:textId="5369E32F" w:rsidR="00A841C2" w:rsidRDefault="00A841C2" w:rsidP="00A841C2">
      <w:pPr>
        <w:pStyle w:val="affd"/>
        <w:spacing w:before="120" w:after="120"/>
      </w:pPr>
      <w:bookmarkStart w:id="60" w:name="_Toc212204698"/>
      <w:bookmarkStart w:id="61" w:name="_Toc212204761"/>
      <w:r>
        <w:rPr>
          <w:rFonts w:hint="eastAsia"/>
        </w:rPr>
        <w:t>各方职责</w:t>
      </w:r>
      <w:bookmarkEnd w:id="60"/>
      <w:bookmarkEnd w:id="61"/>
    </w:p>
    <w:p w14:paraId="6E9F9ECC" w14:textId="30258670" w:rsidR="00A841C2" w:rsidRDefault="00A841C2" w:rsidP="00A841C2">
      <w:pPr>
        <w:pStyle w:val="afffffffff3"/>
      </w:pPr>
      <w:r>
        <w:rPr>
          <w:rFonts w:hint="eastAsia"/>
        </w:rPr>
        <w:t>建设单位职责，包括：</w:t>
      </w:r>
    </w:p>
    <w:p w14:paraId="1004F48F" w14:textId="7DDF85EC" w:rsidR="00A841C2" w:rsidRDefault="00A841C2" w:rsidP="00A841C2">
      <w:pPr>
        <w:pStyle w:val="af5"/>
      </w:pPr>
      <w:r>
        <w:rPr>
          <w:rFonts w:hint="eastAsia"/>
        </w:rPr>
        <w:t>确定项目的绿色建筑星级目标及全生命期成本控制总目标</w:t>
      </w:r>
      <w:r w:rsidR="001865C5">
        <w:rPr>
          <w:rFonts w:hint="eastAsia"/>
        </w:rPr>
        <w:t>；</w:t>
      </w:r>
    </w:p>
    <w:p w14:paraId="2926C74D" w14:textId="0321A8B9" w:rsidR="00A841C2" w:rsidRDefault="00A841C2" w:rsidP="00A841C2">
      <w:pPr>
        <w:pStyle w:val="af5"/>
      </w:pPr>
      <w:r>
        <w:rPr>
          <w:rFonts w:hint="eastAsia"/>
        </w:rPr>
        <w:t>组织建立并领导项目的成本控制体系，协调各参与方履行成本控制责任</w:t>
      </w:r>
      <w:r w:rsidR="001865C5">
        <w:rPr>
          <w:rFonts w:hint="eastAsia"/>
        </w:rPr>
        <w:t>；</w:t>
      </w:r>
    </w:p>
    <w:p w14:paraId="53BD1A97" w14:textId="3D526998" w:rsidR="00A841C2" w:rsidRPr="00A841C2" w:rsidRDefault="00A841C2" w:rsidP="00A841C2">
      <w:pPr>
        <w:pStyle w:val="af5"/>
      </w:pPr>
      <w:r>
        <w:rPr>
          <w:rFonts w:hint="eastAsia"/>
        </w:rPr>
        <w:t>审批重大设计变更及成本调整方案</w:t>
      </w:r>
      <w:r w:rsidR="001865C5">
        <w:rPr>
          <w:rFonts w:hint="eastAsia"/>
        </w:rPr>
        <w:t>。</w:t>
      </w:r>
    </w:p>
    <w:p w14:paraId="596D0B7B" w14:textId="5631EDBE" w:rsidR="00A841C2" w:rsidRDefault="00A841C2" w:rsidP="00A841C2">
      <w:pPr>
        <w:pStyle w:val="afffffffff3"/>
      </w:pPr>
      <w:r>
        <w:rPr>
          <w:rFonts w:hint="eastAsia"/>
        </w:rPr>
        <w:t>设计单位职责，包括：</w:t>
      </w:r>
    </w:p>
    <w:p w14:paraId="4870DC7B" w14:textId="1DA9C264" w:rsidR="00A841C2" w:rsidRDefault="00A841C2" w:rsidP="00A841C2">
      <w:pPr>
        <w:pStyle w:val="af5"/>
        <w:numPr>
          <w:ilvl w:val="0"/>
          <w:numId w:val="32"/>
        </w:numPr>
      </w:pPr>
      <w:r>
        <w:rPr>
          <w:rFonts w:hint="eastAsia"/>
        </w:rPr>
        <w:t>在方案设计、初步设计、施工图设计各阶段严格执行限额设计指标</w:t>
      </w:r>
      <w:r w:rsidR="001865C5">
        <w:rPr>
          <w:rFonts w:hint="eastAsia"/>
        </w:rPr>
        <w:t>；</w:t>
      </w:r>
    </w:p>
    <w:p w14:paraId="78D91FD3" w14:textId="14933C77" w:rsidR="00A841C2" w:rsidRPr="00A841C2" w:rsidRDefault="00A841C2" w:rsidP="00A841C2">
      <w:pPr>
        <w:pStyle w:val="af5"/>
        <w:numPr>
          <w:ilvl w:val="0"/>
          <w:numId w:val="32"/>
        </w:numPr>
      </w:pPr>
      <w:r>
        <w:rPr>
          <w:rFonts w:hint="eastAsia"/>
        </w:rPr>
        <w:t>责开展绿色建筑技术方案的经济性比选，并在设计文件中明确绿色技术措施的具体做法、性能参数及计量要求</w:t>
      </w:r>
      <w:r w:rsidR="001865C5">
        <w:rPr>
          <w:rFonts w:hint="eastAsia"/>
        </w:rPr>
        <w:t>。</w:t>
      </w:r>
    </w:p>
    <w:p w14:paraId="067D7645" w14:textId="6983F94B" w:rsidR="00A841C2" w:rsidRDefault="00A841C2" w:rsidP="00A841C2">
      <w:pPr>
        <w:pStyle w:val="afffffffff3"/>
      </w:pPr>
      <w:r>
        <w:rPr>
          <w:rFonts w:hint="eastAsia"/>
        </w:rPr>
        <w:t>施工单位职责，包括：</w:t>
      </w:r>
    </w:p>
    <w:p w14:paraId="6AE6D0A2" w14:textId="6F83554E" w:rsidR="00A841C2" w:rsidRDefault="00A841C2" w:rsidP="00A841C2">
      <w:pPr>
        <w:pStyle w:val="af5"/>
        <w:numPr>
          <w:ilvl w:val="0"/>
          <w:numId w:val="33"/>
        </w:numPr>
      </w:pPr>
      <w:r>
        <w:rPr>
          <w:rFonts w:hint="eastAsia"/>
        </w:rPr>
        <w:t>依据审定的施工图设计文件和合同约定，编制并执行绿色施工成本计划</w:t>
      </w:r>
      <w:r w:rsidR="001865C5">
        <w:rPr>
          <w:rFonts w:hint="eastAsia"/>
        </w:rPr>
        <w:t>；</w:t>
      </w:r>
    </w:p>
    <w:p w14:paraId="16BC0200" w14:textId="1C6C7465" w:rsidR="00A841C2" w:rsidRPr="00A841C2" w:rsidRDefault="00A841C2" w:rsidP="00A841C2">
      <w:pPr>
        <w:pStyle w:val="af5"/>
        <w:numPr>
          <w:ilvl w:val="0"/>
          <w:numId w:val="33"/>
        </w:numPr>
      </w:pPr>
      <w:r>
        <w:rPr>
          <w:rFonts w:hint="eastAsia"/>
        </w:rPr>
        <w:t>负责对绿色建筑专项工程、材料和设备进行采购、安装和成本控制，并如实记录和申报相关成本数据</w:t>
      </w:r>
      <w:r w:rsidR="001865C5">
        <w:rPr>
          <w:rFonts w:hint="eastAsia"/>
        </w:rPr>
        <w:t>。</w:t>
      </w:r>
    </w:p>
    <w:p w14:paraId="21036984" w14:textId="2869C77E" w:rsidR="00A841C2" w:rsidRDefault="00A841C2" w:rsidP="00A841C2">
      <w:pPr>
        <w:pStyle w:val="afffffffff3"/>
      </w:pPr>
      <w:r>
        <w:rPr>
          <w:rFonts w:hint="eastAsia"/>
        </w:rPr>
        <w:t>造价咨询单位职责，包括：</w:t>
      </w:r>
    </w:p>
    <w:p w14:paraId="22C32930" w14:textId="07B9FF44" w:rsidR="00A841C2" w:rsidRDefault="00A841C2" w:rsidP="00A841C2">
      <w:pPr>
        <w:pStyle w:val="af5"/>
        <w:numPr>
          <w:ilvl w:val="0"/>
          <w:numId w:val="34"/>
        </w:numPr>
      </w:pPr>
      <w:r>
        <w:rPr>
          <w:rFonts w:hint="eastAsia"/>
        </w:rPr>
        <w:t>负责编制和审核项目各阶段的造价文件，对绿色增量成本进行专项测算与分析</w:t>
      </w:r>
      <w:r w:rsidR="001865C5">
        <w:rPr>
          <w:rFonts w:hint="eastAsia"/>
        </w:rPr>
        <w:t>；</w:t>
      </w:r>
    </w:p>
    <w:p w14:paraId="74438AC9" w14:textId="05828C81" w:rsidR="00A841C2" w:rsidRDefault="00A841C2" w:rsidP="00A841C2">
      <w:pPr>
        <w:pStyle w:val="af5"/>
        <w:numPr>
          <w:ilvl w:val="0"/>
          <w:numId w:val="34"/>
        </w:numPr>
      </w:pPr>
      <w:r>
        <w:rPr>
          <w:rFonts w:hint="eastAsia"/>
        </w:rPr>
        <w:t>提供成本优化建议，实施成本动态监控，并出具成本控制报告</w:t>
      </w:r>
      <w:r w:rsidR="001865C5">
        <w:rPr>
          <w:rFonts w:hint="eastAsia"/>
        </w:rPr>
        <w:t>。</w:t>
      </w:r>
    </w:p>
    <w:p w14:paraId="5DF7043A" w14:textId="41A8FB02" w:rsidR="001865C5" w:rsidRDefault="001865C5" w:rsidP="001865C5">
      <w:pPr>
        <w:pStyle w:val="afffffffff3"/>
      </w:pPr>
      <w:r>
        <w:rPr>
          <w:rFonts w:hint="eastAsia"/>
        </w:rPr>
        <w:t>绿色建筑咨询单位职责，包括：</w:t>
      </w:r>
    </w:p>
    <w:p w14:paraId="642582BB" w14:textId="4356885E" w:rsidR="001865C5" w:rsidRDefault="001865C5" w:rsidP="001865C5">
      <w:pPr>
        <w:pStyle w:val="af5"/>
        <w:numPr>
          <w:ilvl w:val="0"/>
          <w:numId w:val="35"/>
        </w:numPr>
      </w:pPr>
      <w:r>
        <w:rPr>
          <w:rFonts w:hint="eastAsia"/>
        </w:rPr>
        <w:t>协助建设单位确定技术可行、经济合理的绿色建筑技术路线；</w:t>
      </w:r>
    </w:p>
    <w:p w14:paraId="74B2028E" w14:textId="2BDA0194" w:rsidR="001865C5" w:rsidRDefault="001865C5" w:rsidP="001865C5">
      <w:pPr>
        <w:pStyle w:val="af5"/>
        <w:numPr>
          <w:ilvl w:val="0"/>
          <w:numId w:val="35"/>
        </w:numPr>
      </w:pPr>
      <w:r>
        <w:rPr>
          <w:rFonts w:hint="eastAsia"/>
        </w:rPr>
        <w:t>配合设计、造价单位完成绿色技术措施的成本效益分析，并提供专业技术支持。</w:t>
      </w:r>
    </w:p>
    <w:p w14:paraId="44BEFA4E" w14:textId="4B82D465" w:rsidR="001865C5" w:rsidRDefault="001865C5" w:rsidP="001865C5">
      <w:pPr>
        <w:pStyle w:val="affc"/>
        <w:spacing w:before="240" w:after="240"/>
      </w:pPr>
      <w:bookmarkStart w:id="62" w:name="_Toc212204699"/>
      <w:bookmarkStart w:id="63" w:name="_Toc212204762"/>
      <w:r>
        <w:rPr>
          <w:rFonts w:hint="eastAsia"/>
        </w:rPr>
        <w:t>绿色建筑工程造价指标</w:t>
      </w:r>
      <w:bookmarkEnd w:id="62"/>
      <w:bookmarkEnd w:id="63"/>
    </w:p>
    <w:p w14:paraId="2B4BAC69" w14:textId="1C1AFC72" w:rsidR="001865C5" w:rsidRDefault="001865C5" w:rsidP="001865C5">
      <w:pPr>
        <w:pStyle w:val="affd"/>
        <w:spacing w:before="120" w:after="120"/>
      </w:pPr>
      <w:bookmarkStart w:id="64" w:name="_Toc212204700"/>
      <w:bookmarkStart w:id="65" w:name="_Toc212204763"/>
      <w:r>
        <w:rPr>
          <w:rFonts w:hint="eastAsia"/>
        </w:rPr>
        <w:t>指标构成体系</w:t>
      </w:r>
      <w:bookmarkEnd w:id="64"/>
      <w:bookmarkEnd w:id="65"/>
    </w:p>
    <w:p w14:paraId="65A9B56F" w14:textId="7A505415" w:rsidR="001865C5" w:rsidRDefault="001865C5" w:rsidP="001865C5">
      <w:pPr>
        <w:pStyle w:val="afffffffff3"/>
      </w:pPr>
      <w:r w:rsidRPr="001865C5">
        <w:rPr>
          <w:rFonts w:hint="eastAsia"/>
        </w:rPr>
        <w:t>总体造价指标：以单位建筑面积造价（元/平方米）表示，反映绿色建筑项目的综合单方成本水平。</w:t>
      </w:r>
    </w:p>
    <w:p w14:paraId="5722B332" w14:textId="7506B329" w:rsidR="001865C5" w:rsidRDefault="001865C5" w:rsidP="001865C5">
      <w:pPr>
        <w:pStyle w:val="afffffffff3"/>
      </w:pPr>
      <w:r w:rsidRPr="001865C5">
        <w:t>分部分项工程造价指标：按工程专业划分，应包括但不限于：</w:t>
      </w:r>
    </w:p>
    <w:p w14:paraId="4D030AC5" w14:textId="61E2BA13" w:rsidR="001865C5" w:rsidRDefault="001865C5" w:rsidP="001865C5">
      <w:pPr>
        <w:pStyle w:val="af5"/>
        <w:numPr>
          <w:ilvl w:val="0"/>
          <w:numId w:val="36"/>
        </w:numPr>
      </w:pPr>
      <w:r>
        <w:rPr>
          <w:rFonts w:hint="eastAsia"/>
        </w:rPr>
        <w:t>结构与基础工程指标；</w:t>
      </w:r>
    </w:p>
    <w:p w14:paraId="08C106A7" w14:textId="0006A528" w:rsidR="001865C5" w:rsidRDefault="001865C5" w:rsidP="001865C5">
      <w:pPr>
        <w:pStyle w:val="af5"/>
        <w:numPr>
          <w:ilvl w:val="0"/>
          <w:numId w:val="36"/>
        </w:numPr>
      </w:pPr>
      <w:r>
        <w:rPr>
          <w:rFonts w:hint="eastAsia"/>
        </w:rPr>
        <w:t>建筑围护结构与保温工程指标；</w:t>
      </w:r>
    </w:p>
    <w:p w14:paraId="7028FB66" w14:textId="657FE195" w:rsidR="001865C5" w:rsidRDefault="001865C5" w:rsidP="001865C5">
      <w:pPr>
        <w:pStyle w:val="af5"/>
        <w:numPr>
          <w:ilvl w:val="0"/>
          <w:numId w:val="36"/>
        </w:numPr>
      </w:pPr>
      <w:r>
        <w:rPr>
          <w:rFonts w:hint="eastAsia"/>
        </w:rPr>
        <w:t>建筑装饰装修工程指标；</w:t>
      </w:r>
    </w:p>
    <w:p w14:paraId="6F4163E0" w14:textId="338E49E5" w:rsidR="001865C5" w:rsidRDefault="001865C5" w:rsidP="001865C5">
      <w:pPr>
        <w:pStyle w:val="af5"/>
        <w:numPr>
          <w:ilvl w:val="0"/>
          <w:numId w:val="36"/>
        </w:numPr>
      </w:pPr>
      <w:r>
        <w:rPr>
          <w:rFonts w:hint="eastAsia"/>
        </w:rPr>
        <w:t>机电设备安装工程（给排水、暖通、电气等）指标；</w:t>
      </w:r>
    </w:p>
    <w:p w14:paraId="1901804F" w14:textId="74B5B233" w:rsidR="001865C5" w:rsidRDefault="001865C5" w:rsidP="001865C5">
      <w:pPr>
        <w:pStyle w:val="af5"/>
        <w:numPr>
          <w:ilvl w:val="0"/>
          <w:numId w:val="36"/>
        </w:numPr>
      </w:pPr>
      <w:r>
        <w:rPr>
          <w:rFonts w:hint="eastAsia"/>
        </w:rPr>
        <w:t>室外总体及景观工程指标。</w:t>
      </w:r>
    </w:p>
    <w:p w14:paraId="767A4AE7" w14:textId="52F42F8A" w:rsidR="00A66E72" w:rsidRDefault="00A66E72" w:rsidP="00A66E72">
      <w:pPr>
        <w:pStyle w:val="afffffffff3"/>
      </w:pPr>
      <w:r w:rsidRPr="00A66E72">
        <w:rPr>
          <w:rFonts w:hint="eastAsia"/>
        </w:rPr>
        <w:t>绿色技术专项造价指标：针对为满足绿色建筑评价标准而采用的技术措施，设置专项指标，包括：</w:t>
      </w:r>
    </w:p>
    <w:p w14:paraId="7A413B15" w14:textId="2D0B2D82" w:rsidR="00A66E72" w:rsidRDefault="00A66E72" w:rsidP="00A66E72">
      <w:pPr>
        <w:pStyle w:val="af5"/>
        <w:numPr>
          <w:ilvl w:val="0"/>
          <w:numId w:val="37"/>
        </w:numPr>
      </w:pPr>
      <w:r>
        <w:rPr>
          <w:rFonts w:hint="eastAsia"/>
        </w:rPr>
        <w:t>节能与能源利用（如围护结构热工性能提升、高效冷热源设备、可再生能源系统等）指标；</w:t>
      </w:r>
    </w:p>
    <w:p w14:paraId="33849DAD" w14:textId="20DDA5FA" w:rsidR="00A66E72" w:rsidRDefault="00A66E72" w:rsidP="00A66E72">
      <w:pPr>
        <w:pStyle w:val="af5"/>
        <w:numPr>
          <w:ilvl w:val="0"/>
          <w:numId w:val="37"/>
        </w:numPr>
      </w:pPr>
      <w:r>
        <w:rPr>
          <w:rFonts w:hint="eastAsia"/>
        </w:rPr>
        <w:t>节水与水资源利用（如节水器具、非传统水源利用系统、高效灌溉等）指标；</w:t>
      </w:r>
    </w:p>
    <w:p w14:paraId="01A1B1DF" w14:textId="723521D0" w:rsidR="00A66E72" w:rsidRDefault="00A66E72" w:rsidP="00A66E72">
      <w:pPr>
        <w:pStyle w:val="af5"/>
        <w:numPr>
          <w:ilvl w:val="0"/>
          <w:numId w:val="37"/>
        </w:numPr>
      </w:pPr>
      <w:r>
        <w:rPr>
          <w:rFonts w:hint="eastAsia"/>
        </w:rPr>
        <w:t>节材与材料资源利用（如绿色建材、可再循环材料、预制构件等）指标；</w:t>
      </w:r>
    </w:p>
    <w:p w14:paraId="6A600DEB" w14:textId="7B5F1907" w:rsidR="00A66E72" w:rsidRDefault="00A66E72" w:rsidP="00A66E72">
      <w:pPr>
        <w:pStyle w:val="af5"/>
        <w:numPr>
          <w:ilvl w:val="0"/>
          <w:numId w:val="37"/>
        </w:numPr>
      </w:pPr>
      <w:r>
        <w:rPr>
          <w:rFonts w:hint="eastAsia"/>
        </w:rPr>
        <w:t>室内环境质量（如隔声降噪措施、室内空气质量监控系统、采光优化措施等）指标。</w:t>
      </w:r>
    </w:p>
    <w:p w14:paraId="3D2045AC" w14:textId="02D843DF" w:rsidR="00A66E72" w:rsidRDefault="00A66E72" w:rsidP="00A66E72">
      <w:pPr>
        <w:pStyle w:val="afffffffff3"/>
      </w:pPr>
      <w:r w:rsidRPr="00A66E72">
        <w:rPr>
          <w:rFonts w:hint="eastAsia"/>
        </w:rPr>
        <w:t>绿色增量成本指标：明确为达到不同星级标准，各专项技术和总体所需的单方增量成本参考范</w:t>
      </w:r>
      <w:r w:rsidRPr="00A66E72">
        <w:rPr>
          <w:rFonts w:hint="eastAsia"/>
        </w:rPr>
        <w:lastRenderedPageBreak/>
        <w:t>围。</w:t>
      </w:r>
    </w:p>
    <w:p w14:paraId="3724BC3D" w14:textId="79AB2C3D" w:rsidR="00A66E72" w:rsidRDefault="00A66E72" w:rsidP="00A66E72">
      <w:pPr>
        <w:pStyle w:val="affd"/>
        <w:spacing w:before="120" w:after="120"/>
      </w:pPr>
      <w:bookmarkStart w:id="66" w:name="_Toc212204701"/>
      <w:bookmarkStart w:id="67" w:name="_Toc212204764"/>
      <w:r>
        <w:rPr>
          <w:rFonts w:hint="eastAsia"/>
        </w:rPr>
        <w:t>指标计算方法</w:t>
      </w:r>
      <w:bookmarkEnd w:id="66"/>
      <w:bookmarkEnd w:id="67"/>
    </w:p>
    <w:p w14:paraId="76ACFE1D" w14:textId="2701FF34" w:rsidR="00A66E72" w:rsidRDefault="00A66E72" w:rsidP="00A66E72">
      <w:pPr>
        <w:pStyle w:val="afffff7"/>
        <w:ind w:firstLine="420"/>
      </w:pPr>
      <w:r w:rsidRPr="00A66E72">
        <w:rPr>
          <w:rFonts w:hint="eastAsia"/>
        </w:rPr>
        <w:t>造价指标应区分不同建筑类型、不同绿色建筑星级和不同地域进行发布与应用，并应说明其价格水平期。</w:t>
      </w:r>
    </w:p>
    <w:p w14:paraId="77545F9A" w14:textId="1759EC71" w:rsidR="00A66E72" w:rsidRDefault="00A66E72" w:rsidP="00A66E72">
      <w:pPr>
        <w:pStyle w:val="affc"/>
        <w:spacing w:before="240" w:after="240"/>
      </w:pPr>
      <w:bookmarkStart w:id="68" w:name="_Toc212204702"/>
      <w:bookmarkStart w:id="69" w:name="_Toc212204765"/>
      <w:r>
        <w:rPr>
          <w:rFonts w:hint="eastAsia"/>
        </w:rPr>
        <w:t>成本控制</w:t>
      </w:r>
      <w:bookmarkEnd w:id="68"/>
      <w:bookmarkEnd w:id="69"/>
    </w:p>
    <w:p w14:paraId="289BE925" w14:textId="1489680E" w:rsidR="00A66E72" w:rsidRDefault="00A66E72" w:rsidP="00A66E72">
      <w:pPr>
        <w:pStyle w:val="affd"/>
        <w:spacing w:before="120" w:after="120"/>
      </w:pPr>
      <w:bookmarkStart w:id="70" w:name="_Toc212204703"/>
      <w:bookmarkStart w:id="71" w:name="_Toc212204766"/>
      <w:r>
        <w:rPr>
          <w:rFonts w:hint="eastAsia"/>
        </w:rPr>
        <w:t>一般要求</w:t>
      </w:r>
      <w:bookmarkEnd w:id="70"/>
      <w:bookmarkEnd w:id="71"/>
    </w:p>
    <w:p w14:paraId="27839390" w14:textId="77777777" w:rsidR="00A66E72" w:rsidRDefault="00A66E72" w:rsidP="00A66E72">
      <w:pPr>
        <w:pStyle w:val="afffffffff3"/>
      </w:pPr>
      <w:r>
        <w:rPr>
          <w:rFonts w:hint="eastAsia"/>
        </w:rPr>
        <w:t>项目应建立以目标成本为导向、以合约规划为手段、以动态成本为监控核心的全过程成本控制体系。</w:t>
      </w:r>
    </w:p>
    <w:p w14:paraId="4DFBECE3" w14:textId="689BB7E6" w:rsidR="00A66E72" w:rsidRDefault="00A66E72" w:rsidP="00A66E72">
      <w:pPr>
        <w:pStyle w:val="afffffffff3"/>
      </w:pPr>
      <w:r>
        <w:rPr>
          <w:rFonts w:hint="eastAsia"/>
        </w:rPr>
        <w:t>成本控制活动应覆盖项目投资决策、设计、招投标、施工、竣工结算及后评估全部阶段。</w:t>
      </w:r>
    </w:p>
    <w:p w14:paraId="278418C1" w14:textId="6609F7A6" w:rsidR="00A66E72" w:rsidRDefault="00A66E72" w:rsidP="00A66E72">
      <w:pPr>
        <w:pStyle w:val="affd"/>
        <w:spacing w:before="120" w:after="120"/>
      </w:pPr>
      <w:bookmarkStart w:id="72" w:name="_Toc212204704"/>
      <w:bookmarkStart w:id="73" w:name="_Toc212204767"/>
      <w:r>
        <w:rPr>
          <w:rFonts w:hint="eastAsia"/>
        </w:rPr>
        <w:t>决策投资阶段</w:t>
      </w:r>
      <w:bookmarkEnd w:id="72"/>
      <w:bookmarkEnd w:id="73"/>
    </w:p>
    <w:p w14:paraId="3E8EB747" w14:textId="77777777" w:rsidR="00A66E72" w:rsidRDefault="00A66E72" w:rsidP="00A66E72">
      <w:pPr>
        <w:pStyle w:val="afffffffff3"/>
      </w:pPr>
      <w:r>
        <w:rPr>
          <w:rFonts w:hint="eastAsia"/>
        </w:rPr>
        <w:t>在项目可行性研究报告中，应设立绿色建筑专项篇章，论证星级目标的技术经济可行性。</w:t>
      </w:r>
    </w:p>
    <w:p w14:paraId="0419EEAC" w14:textId="1B115A9D" w:rsidR="00A66E72" w:rsidRDefault="00A66E72" w:rsidP="00A66E72">
      <w:pPr>
        <w:pStyle w:val="afffffffff3"/>
      </w:pPr>
      <w:r>
        <w:rPr>
          <w:rFonts w:hint="eastAsia"/>
        </w:rPr>
        <w:t>项目投资估算必须包含为实现绿色建筑星级目标而发生的绿色增量成本初步估算。</w:t>
      </w:r>
    </w:p>
    <w:p w14:paraId="563CFF55" w14:textId="03CDFBCD" w:rsidR="00A66E72" w:rsidRDefault="00A66E72" w:rsidP="00A66E72">
      <w:pPr>
        <w:pStyle w:val="afffffffff3"/>
      </w:pPr>
      <w:r>
        <w:rPr>
          <w:rFonts w:hint="eastAsia"/>
        </w:rPr>
        <w:t>宜采用全生命期成本分析方法，对关键绿色技术方案进行投入与产出的初步分析，确定项目的全生命期成本控制目标。</w:t>
      </w:r>
    </w:p>
    <w:p w14:paraId="3EF9586D" w14:textId="7DA6D462" w:rsidR="00A66E72" w:rsidRDefault="00A66E72" w:rsidP="00A66E72">
      <w:pPr>
        <w:pStyle w:val="affd"/>
        <w:spacing w:before="120" w:after="120"/>
      </w:pPr>
      <w:bookmarkStart w:id="74" w:name="_Toc212204705"/>
      <w:bookmarkStart w:id="75" w:name="_Toc212204768"/>
      <w:r>
        <w:rPr>
          <w:rFonts w:hint="eastAsia"/>
        </w:rPr>
        <w:t>设计阶段</w:t>
      </w:r>
      <w:bookmarkEnd w:id="74"/>
      <w:bookmarkEnd w:id="75"/>
    </w:p>
    <w:p w14:paraId="15185AFC" w14:textId="77777777" w:rsidR="00A66E72" w:rsidRDefault="00A66E72" w:rsidP="00A66E72">
      <w:pPr>
        <w:pStyle w:val="afffffffff3"/>
      </w:pPr>
      <w:r>
        <w:rPr>
          <w:rFonts w:hint="eastAsia"/>
        </w:rPr>
        <w:t>实行限额设计。将批准的投资估算额分解为各专业、各单项工程的设计限额指标。</w:t>
      </w:r>
    </w:p>
    <w:p w14:paraId="6267317D" w14:textId="66DF1FA1" w:rsidR="00A66E72" w:rsidRDefault="00A66E72" w:rsidP="00A66E72">
      <w:pPr>
        <w:pStyle w:val="afffffffff3"/>
      </w:pPr>
      <w:r>
        <w:rPr>
          <w:rFonts w:hint="eastAsia"/>
        </w:rPr>
        <w:t>在方案设计和初步设计阶段，应组织不少于两次的绿色建筑专项技术经济多方案比选，比选内容应包括初始成本、运营成本、维护成本及环境效益。</w:t>
      </w:r>
    </w:p>
    <w:p w14:paraId="2BE26E3D" w14:textId="18CD474C" w:rsidR="00A66E72" w:rsidRDefault="00A66E72" w:rsidP="00A66E72">
      <w:pPr>
        <w:pStyle w:val="afffffffff3"/>
      </w:pPr>
      <w:r>
        <w:rPr>
          <w:rFonts w:hint="eastAsia"/>
        </w:rPr>
        <w:t>施工图设计完成后的施工图预算，不得超过初步设计概算中对应的限额。预算书中应单独列项计算主要的绿色建筑技术措施费用。</w:t>
      </w:r>
    </w:p>
    <w:p w14:paraId="101EE74A" w14:textId="1634DFFD" w:rsidR="00A66E72" w:rsidRDefault="00A66E72" w:rsidP="00A66E72">
      <w:pPr>
        <w:pStyle w:val="afffffffff3"/>
      </w:pPr>
      <w:r>
        <w:rPr>
          <w:rFonts w:hint="eastAsia"/>
        </w:rPr>
        <w:t>倡导在本阶段应用价值工程方法，组织设计、造价、绿建咨询等方对成本影响大的绿色技术方案进行功能成本分析，优化设计方案。</w:t>
      </w:r>
    </w:p>
    <w:p w14:paraId="5CFAB935" w14:textId="3BE1D3BF" w:rsidR="00A66E72" w:rsidRDefault="00A66E72" w:rsidP="00A66E72">
      <w:pPr>
        <w:pStyle w:val="affd"/>
        <w:spacing w:before="120" w:after="120"/>
      </w:pPr>
      <w:bookmarkStart w:id="76" w:name="_Toc212204706"/>
      <w:bookmarkStart w:id="77" w:name="_Toc212204769"/>
      <w:r>
        <w:rPr>
          <w:rFonts w:hint="eastAsia"/>
        </w:rPr>
        <w:t>招投标与合同订立阶段</w:t>
      </w:r>
      <w:bookmarkEnd w:id="76"/>
      <w:bookmarkEnd w:id="77"/>
    </w:p>
    <w:p w14:paraId="4CF56E70" w14:textId="6A327BFD" w:rsidR="00A66E72" w:rsidRDefault="00A66E72" w:rsidP="00A66E72">
      <w:pPr>
        <w:pStyle w:val="afffffffff3"/>
      </w:pPr>
      <w:r w:rsidRPr="00A66E72">
        <w:t>招标文件中的工程量清单，必须设置</w:t>
      </w:r>
      <w:r>
        <w:rPr>
          <w:rFonts w:hint="eastAsia"/>
        </w:rPr>
        <w:t>“</w:t>
      </w:r>
      <w:r w:rsidRPr="00A66E72">
        <w:t>绿色建筑措施项目清单</w:t>
      </w:r>
      <w:r>
        <w:rPr>
          <w:rFonts w:hint="eastAsia"/>
        </w:rPr>
        <w:t>”</w:t>
      </w:r>
      <w:r w:rsidRPr="00A66E72">
        <w:t>，并对每一项措施的项目特征、工作内容、验收标准进行清晰、准确的描述。</w:t>
      </w:r>
    </w:p>
    <w:p w14:paraId="52176D47" w14:textId="717ED19F" w:rsidR="00A66E72" w:rsidRDefault="00A66E72" w:rsidP="00A66E72">
      <w:pPr>
        <w:pStyle w:val="afffffffff3"/>
      </w:pPr>
      <w:r w:rsidRPr="00A66E72">
        <w:t>在合同条款中，应明确约定：</w:t>
      </w:r>
    </w:p>
    <w:p w14:paraId="52DF4EAB" w14:textId="2A90C14D" w:rsidR="00A66E72" w:rsidRDefault="00A66E72" w:rsidP="00A66E72">
      <w:pPr>
        <w:pStyle w:val="af5"/>
        <w:numPr>
          <w:ilvl w:val="0"/>
          <w:numId w:val="38"/>
        </w:numPr>
      </w:pPr>
      <w:r>
        <w:rPr>
          <w:rFonts w:hint="eastAsia"/>
        </w:rPr>
        <w:t>项目要求达到的绿色建筑星级标准及具体技术参数；</w:t>
      </w:r>
    </w:p>
    <w:p w14:paraId="5BD9C64B" w14:textId="6E81FEC6" w:rsidR="00A66E72" w:rsidRDefault="00A66E72" w:rsidP="00A66E72">
      <w:pPr>
        <w:pStyle w:val="af5"/>
        <w:numPr>
          <w:ilvl w:val="0"/>
          <w:numId w:val="38"/>
        </w:numPr>
      </w:pPr>
      <w:r>
        <w:rPr>
          <w:rFonts w:hint="eastAsia"/>
        </w:rPr>
        <w:t>绿色建筑相关材料、设备的品质、认证等级及验收方法；</w:t>
      </w:r>
    </w:p>
    <w:p w14:paraId="4C9912B9" w14:textId="0C17F26F" w:rsidR="00A66E72" w:rsidRDefault="00A66E72" w:rsidP="00A66E72">
      <w:pPr>
        <w:pStyle w:val="af5"/>
        <w:numPr>
          <w:ilvl w:val="0"/>
          <w:numId w:val="38"/>
        </w:numPr>
      </w:pPr>
      <w:r>
        <w:rPr>
          <w:rFonts w:hint="eastAsia"/>
        </w:rPr>
        <w:t>因绿色建筑性能优化而引发的工程变更的价款调整方式；</w:t>
      </w:r>
    </w:p>
    <w:p w14:paraId="2D73B4CD" w14:textId="0DBC5396" w:rsidR="00A66E72" w:rsidRDefault="00A66E72" w:rsidP="00A66E72">
      <w:pPr>
        <w:pStyle w:val="af5"/>
        <w:numPr>
          <w:ilvl w:val="0"/>
          <w:numId w:val="38"/>
        </w:numPr>
      </w:pPr>
      <w:r>
        <w:rPr>
          <w:rFonts w:hint="eastAsia"/>
        </w:rPr>
        <w:t>达到或未达到约定绿色建筑目标的奖励与惩罚条款。</w:t>
      </w:r>
    </w:p>
    <w:p w14:paraId="6D4D30F7" w14:textId="70CB8AFB" w:rsidR="00A66E72" w:rsidRDefault="00A66E72" w:rsidP="00A66E72">
      <w:pPr>
        <w:pStyle w:val="affd"/>
        <w:spacing w:before="120" w:after="120"/>
      </w:pPr>
      <w:bookmarkStart w:id="78" w:name="_Toc212204707"/>
      <w:bookmarkStart w:id="79" w:name="_Toc212204770"/>
      <w:r>
        <w:rPr>
          <w:rFonts w:hint="eastAsia"/>
        </w:rPr>
        <w:t>施工阶段</w:t>
      </w:r>
      <w:bookmarkEnd w:id="78"/>
      <w:bookmarkEnd w:id="79"/>
    </w:p>
    <w:p w14:paraId="13161C63" w14:textId="77777777" w:rsidR="00A66E72" w:rsidRDefault="00A66E72" w:rsidP="00A66E72">
      <w:pPr>
        <w:pStyle w:val="afffffffff3"/>
      </w:pPr>
      <w:r>
        <w:rPr>
          <w:rFonts w:hint="eastAsia"/>
        </w:rPr>
        <w:t>建立工程变更管理制度。凡涉及可能影响绿色建筑性能或造价的变更，必须经过技术、经济及环保方面的综合评审。</w:t>
      </w:r>
    </w:p>
    <w:p w14:paraId="524BBF41" w14:textId="5A919F46" w:rsidR="00A66E72" w:rsidRDefault="00A66E72" w:rsidP="00A66E72">
      <w:pPr>
        <w:pStyle w:val="afffffffff3"/>
      </w:pPr>
      <w:r>
        <w:rPr>
          <w:rFonts w:hint="eastAsia"/>
        </w:rPr>
        <w:t>对绿色建筑专用的材料、设备，应建立严格的采购与询价认价机制，确保其性能符合设计要求且价格合理。</w:t>
      </w:r>
    </w:p>
    <w:p w14:paraId="49FF9067" w14:textId="1F98195F" w:rsidR="00A66E72" w:rsidRDefault="00A66E72" w:rsidP="00A66E72">
      <w:pPr>
        <w:pStyle w:val="afffffffff3"/>
      </w:pPr>
      <w:r>
        <w:rPr>
          <w:rFonts w:hint="eastAsia"/>
        </w:rPr>
        <w:t>施工单位编制的施工组织设计应包含绿色施工专项方案，并测算其成本，纳入项目总成本控制范围。</w:t>
      </w:r>
    </w:p>
    <w:p w14:paraId="36D4275D" w14:textId="34936611" w:rsidR="00A66E72" w:rsidRDefault="00A66E72" w:rsidP="00A66E72">
      <w:pPr>
        <w:pStyle w:val="affd"/>
        <w:spacing w:before="120" w:after="120"/>
      </w:pPr>
      <w:bookmarkStart w:id="80" w:name="_Toc212204708"/>
      <w:bookmarkStart w:id="81" w:name="_Toc212204771"/>
      <w:r>
        <w:rPr>
          <w:rFonts w:hint="eastAsia"/>
        </w:rPr>
        <w:t>竣工阶段</w:t>
      </w:r>
      <w:bookmarkEnd w:id="80"/>
      <w:bookmarkEnd w:id="81"/>
    </w:p>
    <w:p w14:paraId="3B64EBBA" w14:textId="77777777" w:rsidR="00A66E72" w:rsidRDefault="00A66E72" w:rsidP="00A66E72">
      <w:pPr>
        <w:pStyle w:val="afffffffff3"/>
      </w:pPr>
      <w:r>
        <w:rPr>
          <w:rFonts w:hint="eastAsia"/>
        </w:rPr>
        <w:t>办理竣工结算时，应对照合同和绿色建筑设计文件，全面核实绿色建筑相关工程的完成情况、工程量及价款。</w:t>
      </w:r>
    </w:p>
    <w:p w14:paraId="29B40D2C" w14:textId="305630B8" w:rsidR="00A66E72" w:rsidRDefault="00A66E72" w:rsidP="00A66E72">
      <w:pPr>
        <w:pStyle w:val="afffffffff3"/>
      </w:pPr>
      <w:r>
        <w:rPr>
          <w:rFonts w:hint="eastAsia"/>
        </w:rPr>
        <w:t>竣工结算报告应包含绿色增量成本的最终执行情况专项说明。</w:t>
      </w:r>
    </w:p>
    <w:p w14:paraId="6A0C8F11" w14:textId="7597BF4F" w:rsidR="00A66E72" w:rsidRDefault="00A66E72" w:rsidP="00A66E72">
      <w:pPr>
        <w:pStyle w:val="afffffffff3"/>
      </w:pPr>
      <w:r>
        <w:rPr>
          <w:rFonts w:hint="eastAsia"/>
        </w:rPr>
        <w:t>项目交付使用后，建设单位应组织进行成本后评估，系统分析实际成本与目标成本的偏差及其</w:t>
      </w:r>
      <w:r>
        <w:rPr>
          <w:rFonts w:hint="eastAsia"/>
        </w:rPr>
        <w:lastRenderedPageBreak/>
        <w:t>原因，总结成本控制经验，并将关键数据录入造价数据库。</w:t>
      </w:r>
    </w:p>
    <w:p w14:paraId="7F91ED1B" w14:textId="7FB2ECCB" w:rsidR="00A66E72" w:rsidRDefault="00A66E72" w:rsidP="00A66E72">
      <w:pPr>
        <w:pStyle w:val="affd"/>
        <w:spacing w:before="120" w:after="120"/>
      </w:pPr>
      <w:bookmarkStart w:id="82" w:name="_Toc212204709"/>
      <w:bookmarkStart w:id="83" w:name="_Toc212204772"/>
      <w:r>
        <w:rPr>
          <w:rFonts w:hint="eastAsia"/>
        </w:rPr>
        <w:t>成本动态监控与预警</w:t>
      </w:r>
      <w:bookmarkEnd w:id="82"/>
      <w:bookmarkEnd w:id="83"/>
    </w:p>
    <w:p w14:paraId="6506AE87" w14:textId="77777777" w:rsidR="00A66E72" w:rsidRDefault="00A66E72" w:rsidP="00A66E72">
      <w:pPr>
        <w:pStyle w:val="afffffffff3"/>
      </w:pPr>
      <w:r>
        <w:rPr>
          <w:rFonts w:hint="eastAsia"/>
        </w:rPr>
        <w:t>项目实施期间，造价咨询单位应每月编制动态成本报告，对比分析实际成本与目标成本的差异。</w:t>
      </w:r>
    </w:p>
    <w:p w14:paraId="4C624AA8" w14:textId="5E14F4A5" w:rsidR="00A66E72" w:rsidRDefault="00A66E72" w:rsidP="00A66E72">
      <w:pPr>
        <w:pStyle w:val="afffffffff3"/>
      </w:pPr>
      <w:r>
        <w:rPr>
          <w:rFonts w:hint="eastAsia"/>
        </w:rPr>
        <w:t>当某一成本科目的实际支出超出目标成本的5%时，应启动黄色预警，向建设单位发出风险提示。</w:t>
      </w:r>
    </w:p>
    <w:p w14:paraId="5BC9FB5D" w14:textId="64FA518E" w:rsidR="00A66E72" w:rsidRDefault="00A66E72" w:rsidP="00A66E72">
      <w:pPr>
        <w:pStyle w:val="afffffffff3"/>
      </w:pPr>
      <w:r>
        <w:rPr>
          <w:rFonts w:hint="eastAsia"/>
        </w:rPr>
        <w:t>当某一成本科目的实际支出超出目标成本的10%时，应启动红色预警，建设单位应立即组织相关方分析原因，并在14日内制定并落实纠偏措施。</w:t>
      </w:r>
    </w:p>
    <w:p w14:paraId="0E4F4B4C" w14:textId="1CA4133F" w:rsidR="00A66E72" w:rsidRDefault="00A66E72" w:rsidP="00A66E72">
      <w:pPr>
        <w:pStyle w:val="affc"/>
        <w:spacing w:before="240" w:after="240"/>
      </w:pPr>
      <w:bookmarkStart w:id="84" w:name="_Toc212204710"/>
      <w:bookmarkStart w:id="85" w:name="_Toc212204773"/>
      <w:r>
        <w:rPr>
          <w:rFonts w:hint="eastAsia"/>
        </w:rPr>
        <w:t>绿色增量成本管理</w:t>
      </w:r>
      <w:bookmarkEnd w:id="84"/>
      <w:bookmarkEnd w:id="85"/>
    </w:p>
    <w:p w14:paraId="66A1C08D" w14:textId="450CA73A" w:rsidR="002E137F" w:rsidRPr="002E137F" w:rsidRDefault="002E137F" w:rsidP="002E137F">
      <w:pPr>
        <w:pStyle w:val="affd"/>
        <w:spacing w:before="120" w:after="120"/>
      </w:pPr>
      <w:bookmarkStart w:id="86" w:name="_Toc212204774"/>
      <w:r>
        <w:rPr>
          <w:rFonts w:hint="eastAsia"/>
        </w:rPr>
        <w:t>识别与鉴定</w:t>
      </w:r>
      <w:bookmarkEnd w:id="86"/>
    </w:p>
    <w:p w14:paraId="693D78EF" w14:textId="77777777" w:rsidR="00A66E72" w:rsidRDefault="00A66E72" w:rsidP="00A66E72">
      <w:pPr>
        <w:pStyle w:val="afffffffff3"/>
      </w:pPr>
      <w:r>
        <w:rPr>
          <w:rFonts w:hint="eastAsia"/>
        </w:rPr>
        <w:t>以项目目标绿色建筑星级和GB/T 50378的评价条文为依据，逐条识别为实现得分项而需采取的技术措施。</w:t>
      </w:r>
    </w:p>
    <w:p w14:paraId="076BDF8E" w14:textId="45044AB7" w:rsidR="00A66E72" w:rsidRDefault="00A66E72" w:rsidP="00A66E72">
      <w:pPr>
        <w:pStyle w:val="afffffffff3"/>
      </w:pPr>
      <w:r>
        <w:rPr>
          <w:rFonts w:hint="eastAsia"/>
        </w:rPr>
        <w:t>基准方案的设定，必须书面明确其各项性能参数（如围护结构传热系数、设备能效值、节水器具等级等），并确保其完全满足GB 55015等强制性规范的最低要求。</w:t>
      </w:r>
    </w:p>
    <w:p w14:paraId="056094FB" w14:textId="5A348A6B" w:rsidR="00A66E72" w:rsidRDefault="00A66E72" w:rsidP="00A66E72">
      <w:pPr>
        <w:pStyle w:val="afffffffff3"/>
      </w:pPr>
      <w:r w:rsidRPr="00A66E72">
        <w:t>绿色增量成本构成包括：</w:t>
      </w:r>
    </w:p>
    <w:p w14:paraId="55788F13" w14:textId="0232C069" w:rsidR="00A66E72" w:rsidRDefault="00A66E72" w:rsidP="00A66E72">
      <w:pPr>
        <w:pStyle w:val="af5"/>
        <w:numPr>
          <w:ilvl w:val="0"/>
          <w:numId w:val="39"/>
        </w:numPr>
      </w:pPr>
      <w:r>
        <w:rPr>
          <w:rFonts w:hint="eastAsia"/>
        </w:rPr>
        <w:t>技术措施成本：为提升建筑性能（如更低的传热系数、更高的能效等级、可再生能源利用、中水回用等）而增加的工程实体费用；</w:t>
      </w:r>
    </w:p>
    <w:p w14:paraId="0D15B568" w14:textId="700C32EA" w:rsidR="00A66E72" w:rsidRDefault="00A66E72" w:rsidP="00A66E72">
      <w:pPr>
        <w:pStyle w:val="af5"/>
        <w:numPr>
          <w:ilvl w:val="0"/>
          <w:numId w:val="39"/>
        </w:numPr>
      </w:pPr>
      <w:r>
        <w:rPr>
          <w:rFonts w:hint="eastAsia"/>
        </w:rPr>
        <w:t>咨询认证成本：绿色建筑专项咨询、能耗模拟、日照分析、风环境模拟、室内声光热环境模拟、第三方检测、绿色建筑星级认证申报及评审等费用；</w:t>
      </w:r>
    </w:p>
    <w:p w14:paraId="40081949" w14:textId="1F0A32BF" w:rsidR="00A66E72" w:rsidRDefault="00A66E72" w:rsidP="00A66E72">
      <w:pPr>
        <w:pStyle w:val="af5"/>
        <w:numPr>
          <w:ilvl w:val="0"/>
          <w:numId w:val="39"/>
        </w:numPr>
      </w:pPr>
      <w:r>
        <w:rPr>
          <w:rFonts w:hint="eastAsia"/>
        </w:rPr>
        <w:t>增量研发与设计成本：为应用新型绿色技术、材料或工艺所进行的专项研究、试验费以及由此增加的复杂设计费。</w:t>
      </w:r>
    </w:p>
    <w:p w14:paraId="543E82CB" w14:textId="70AB94FE" w:rsidR="00A66E72" w:rsidRDefault="00A66E72" w:rsidP="00A66E72">
      <w:pPr>
        <w:pStyle w:val="affd"/>
        <w:spacing w:before="120" w:after="120"/>
      </w:pPr>
      <w:bookmarkStart w:id="87" w:name="_Toc212204711"/>
      <w:bookmarkStart w:id="88" w:name="_Toc212204775"/>
      <w:r>
        <w:rPr>
          <w:rFonts w:hint="eastAsia"/>
        </w:rPr>
        <w:t>核算</w:t>
      </w:r>
      <w:bookmarkEnd w:id="87"/>
      <w:bookmarkEnd w:id="88"/>
    </w:p>
    <w:p w14:paraId="3B89A11B" w14:textId="77777777" w:rsidR="00A66E72" w:rsidRDefault="00A66E72" w:rsidP="00A66E72">
      <w:pPr>
        <w:pStyle w:val="afffffffff3"/>
      </w:pPr>
      <w:r>
        <w:rPr>
          <w:rFonts w:hint="eastAsia"/>
        </w:rPr>
        <w:t>核算工作应从设计概算阶段开始，并随设计深度逐步细化，直至竣工结算完成最终核算。</w:t>
      </w:r>
    </w:p>
    <w:p w14:paraId="1C0AABE8" w14:textId="45C4E2F7" w:rsidR="00A66E72" w:rsidRDefault="00A66E72" w:rsidP="00A66E72">
      <w:pPr>
        <w:pStyle w:val="afffffffff3"/>
      </w:pPr>
      <w:r>
        <w:rPr>
          <w:rFonts w:hint="eastAsia"/>
        </w:rPr>
        <w:t>核算应采用标准化的《绿色增量成本核算表》，按绿色建筑评价条文分类，逐项记录其基准方案成本、绿色方案成本及增量成本。</w:t>
      </w:r>
    </w:p>
    <w:p w14:paraId="224CBB6C" w14:textId="7F4EEAD5" w:rsidR="00A66E72" w:rsidRDefault="00A66E72" w:rsidP="00A66E72">
      <w:pPr>
        <w:pStyle w:val="affd"/>
        <w:spacing w:before="120" w:after="120"/>
      </w:pPr>
      <w:bookmarkStart w:id="89" w:name="_Toc212204712"/>
      <w:bookmarkStart w:id="90" w:name="_Toc212204776"/>
      <w:r>
        <w:rPr>
          <w:rFonts w:hint="eastAsia"/>
        </w:rPr>
        <w:t>优化与决策</w:t>
      </w:r>
      <w:bookmarkEnd w:id="89"/>
      <w:bookmarkEnd w:id="90"/>
    </w:p>
    <w:p w14:paraId="7051B67B" w14:textId="77777777" w:rsidR="00A66E72" w:rsidRDefault="00A66E72" w:rsidP="00A66E72">
      <w:pPr>
        <w:pStyle w:val="afffffffff3"/>
      </w:pPr>
      <w:r>
        <w:rPr>
          <w:rFonts w:hint="eastAsia"/>
        </w:rPr>
        <w:t>对初步识别的绿色增量成本措施，应进行成本效益分析。经济效益分析应计算静态或动态投资回收期；环境效益可进行定性或定量描述。</w:t>
      </w:r>
    </w:p>
    <w:p w14:paraId="09D26E3E" w14:textId="5C0C5490" w:rsidR="00A66E72" w:rsidRDefault="00A66E72" w:rsidP="00A66E72">
      <w:pPr>
        <w:pStyle w:val="afffffffff3"/>
      </w:pPr>
      <w:r>
        <w:rPr>
          <w:rFonts w:hint="eastAsia"/>
        </w:rPr>
        <w:t>价值工程活动的开展应聚焦于成本占比高或增量成本显著的绿色技术措施，通过功能分析，提出在满足核心功能前提下成本更低的替代方案。</w:t>
      </w:r>
    </w:p>
    <w:p w14:paraId="727E8557" w14:textId="601504E2" w:rsidR="00A66E72" w:rsidRDefault="00A66E72" w:rsidP="00A66E72">
      <w:pPr>
        <w:pStyle w:val="afffffffff3"/>
      </w:pPr>
      <w:r>
        <w:rPr>
          <w:rFonts w:hint="eastAsia"/>
        </w:rPr>
        <w:t>根据成本效益分析和价值工程成果，对绿色技术措施进行优先级排序，优先选择单位增量成本带来的综合效益（经济、环境、社会）最高的措施组合。</w:t>
      </w:r>
    </w:p>
    <w:p w14:paraId="6AD558CC" w14:textId="222A2D03" w:rsidR="009A6B7E" w:rsidRDefault="009A6B7E" w:rsidP="009A6B7E">
      <w:pPr>
        <w:pStyle w:val="affc"/>
        <w:spacing w:before="240" w:after="240"/>
      </w:pPr>
      <w:bookmarkStart w:id="91" w:name="_Toc212204713"/>
      <w:bookmarkStart w:id="92" w:name="_Toc212204777"/>
      <w:r>
        <w:rPr>
          <w:rFonts w:hint="eastAsia"/>
        </w:rPr>
        <w:t>绿色建材与设备成本控制</w:t>
      </w:r>
      <w:bookmarkEnd w:id="91"/>
      <w:bookmarkEnd w:id="92"/>
    </w:p>
    <w:p w14:paraId="6F088B22" w14:textId="63C03A7C" w:rsidR="009A6B7E" w:rsidRDefault="009A6B7E" w:rsidP="009A6B7E">
      <w:pPr>
        <w:pStyle w:val="affd"/>
        <w:spacing w:before="120" w:after="120"/>
      </w:pPr>
      <w:bookmarkStart w:id="93" w:name="_Toc212204714"/>
      <w:bookmarkStart w:id="94" w:name="_Toc212204778"/>
      <w:r>
        <w:rPr>
          <w:rFonts w:hint="eastAsia"/>
        </w:rPr>
        <w:t>绿色建材采购成本控制</w:t>
      </w:r>
      <w:bookmarkEnd w:id="93"/>
      <w:bookmarkEnd w:id="94"/>
    </w:p>
    <w:p w14:paraId="26EBE541" w14:textId="11A0E0A0" w:rsidR="009A6B7E" w:rsidRDefault="009A6B7E" w:rsidP="009A6B7E">
      <w:pPr>
        <w:pStyle w:val="afffffffff3"/>
      </w:pPr>
      <w:r w:rsidRPr="009A6B7E">
        <w:t>建立绿色建材供应商预审制度，预审标准应包含：</w:t>
      </w:r>
    </w:p>
    <w:p w14:paraId="75A67AC5" w14:textId="25B0BCCD" w:rsidR="009A6B7E" w:rsidRDefault="009A6B7E" w:rsidP="009A6B7E">
      <w:pPr>
        <w:pStyle w:val="af5"/>
        <w:numPr>
          <w:ilvl w:val="0"/>
          <w:numId w:val="40"/>
        </w:numPr>
      </w:pPr>
      <w:r>
        <w:rPr>
          <w:rFonts w:hint="eastAsia"/>
        </w:rPr>
        <w:t>供应商需提供有效的绿色产品认证证书，认证标准应符合GB/T 33761的要求；</w:t>
      </w:r>
    </w:p>
    <w:p w14:paraId="0EC0C2CB" w14:textId="0847D4E0" w:rsidR="009A6B7E" w:rsidRDefault="009A6B7E" w:rsidP="009A6B7E">
      <w:pPr>
        <w:pStyle w:val="af5"/>
        <w:numPr>
          <w:ilvl w:val="0"/>
          <w:numId w:val="40"/>
        </w:numPr>
      </w:pPr>
      <w:r>
        <w:rPr>
          <w:rFonts w:hint="eastAsia"/>
        </w:rPr>
        <w:t>供应商近三年内无重大质量、环境管理事故记录；</w:t>
      </w:r>
    </w:p>
    <w:p w14:paraId="4C84AAF2" w14:textId="01A3999E" w:rsidR="009A6B7E" w:rsidRDefault="009A6B7E" w:rsidP="009A6B7E">
      <w:pPr>
        <w:pStyle w:val="af5"/>
        <w:numPr>
          <w:ilvl w:val="0"/>
          <w:numId w:val="40"/>
        </w:numPr>
      </w:pPr>
      <w:r>
        <w:rPr>
          <w:rFonts w:hint="eastAsia"/>
        </w:rPr>
        <w:t>供应商需提供完整的产品生命周期评估报告。</w:t>
      </w:r>
    </w:p>
    <w:p w14:paraId="173296DC" w14:textId="094C1EF3" w:rsidR="009A6B7E" w:rsidRDefault="009A6B7E" w:rsidP="009A6B7E">
      <w:pPr>
        <w:pStyle w:val="afffffffff3"/>
      </w:pPr>
      <w:r w:rsidRPr="009A6B7E">
        <w:rPr>
          <w:rFonts w:hint="eastAsia"/>
        </w:rPr>
        <w:t>制定绿色建材集中采购目录，目录应明确：</w:t>
      </w:r>
    </w:p>
    <w:p w14:paraId="6BE492BD" w14:textId="2CC7FC5B" w:rsidR="009A6B7E" w:rsidRDefault="009A6B7E" w:rsidP="009A6B7E">
      <w:pPr>
        <w:pStyle w:val="af5"/>
        <w:numPr>
          <w:ilvl w:val="0"/>
          <w:numId w:val="41"/>
        </w:numPr>
      </w:pPr>
      <w:r>
        <w:rPr>
          <w:rFonts w:hint="eastAsia"/>
        </w:rPr>
        <w:t>各类建材的环保性能指标要求；</w:t>
      </w:r>
    </w:p>
    <w:p w14:paraId="3ADE4EA0" w14:textId="5543F129" w:rsidR="009A6B7E" w:rsidRDefault="009A6B7E" w:rsidP="009A6B7E">
      <w:pPr>
        <w:pStyle w:val="af5"/>
        <w:numPr>
          <w:ilvl w:val="0"/>
          <w:numId w:val="41"/>
        </w:numPr>
      </w:pPr>
      <w:r>
        <w:rPr>
          <w:rFonts w:hint="eastAsia"/>
        </w:rPr>
        <w:t>材料采购的基准价格区间；</w:t>
      </w:r>
    </w:p>
    <w:p w14:paraId="7D7B349A" w14:textId="2A8795A0" w:rsidR="009A6B7E" w:rsidRDefault="009A6B7E" w:rsidP="009A6B7E">
      <w:pPr>
        <w:pStyle w:val="af5"/>
        <w:numPr>
          <w:ilvl w:val="0"/>
          <w:numId w:val="41"/>
        </w:numPr>
      </w:pPr>
      <w:r>
        <w:rPr>
          <w:rFonts w:hint="eastAsia"/>
        </w:rPr>
        <w:t>材料运输距离限制要求；</w:t>
      </w:r>
    </w:p>
    <w:p w14:paraId="2866A735" w14:textId="2E83EBE6" w:rsidR="009A6B7E" w:rsidRDefault="009A6B7E" w:rsidP="009A6B7E">
      <w:pPr>
        <w:pStyle w:val="af5"/>
        <w:numPr>
          <w:ilvl w:val="0"/>
          <w:numId w:val="41"/>
        </w:numPr>
      </w:pPr>
      <w:r>
        <w:rPr>
          <w:rFonts w:hint="eastAsia"/>
        </w:rPr>
        <w:t>材料包装回收利用要求。</w:t>
      </w:r>
    </w:p>
    <w:p w14:paraId="3F4B310A" w14:textId="2C024FEA" w:rsidR="009A6B7E" w:rsidRDefault="009A6B7E" w:rsidP="009A6B7E">
      <w:pPr>
        <w:pStyle w:val="afffffffff3"/>
      </w:pPr>
      <w:r w:rsidRPr="009A6B7E">
        <w:rPr>
          <w:rFonts w:hint="eastAsia"/>
        </w:rPr>
        <w:t>实施绿色建材批量采购策略：</w:t>
      </w:r>
    </w:p>
    <w:p w14:paraId="2117B648" w14:textId="2AFE8B55" w:rsidR="009A6B7E" w:rsidRDefault="009A6B7E" w:rsidP="009A6B7E">
      <w:pPr>
        <w:pStyle w:val="af5"/>
        <w:numPr>
          <w:ilvl w:val="0"/>
          <w:numId w:val="42"/>
        </w:numPr>
      </w:pPr>
      <w:r>
        <w:rPr>
          <w:rFonts w:hint="eastAsia"/>
        </w:rPr>
        <w:lastRenderedPageBreak/>
        <w:t>同类型项目统一材料标准；</w:t>
      </w:r>
    </w:p>
    <w:p w14:paraId="25B89DA8" w14:textId="54FA936B" w:rsidR="009A6B7E" w:rsidRDefault="009A6B7E" w:rsidP="009A6B7E">
      <w:pPr>
        <w:pStyle w:val="af5"/>
        <w:numPr>
          <w:ilvl w:val="0"/>
          <w:numId w:val="42"/>
        </w:numPr>
      </w:pPr>
      <w:r>
        <w:rPr>
          <w:rFonts w:hint="eastAsia"/>
        </w:rPr>
        <w:t>区域性项目建立材料战略采购协议；</w:t>
      </w:r>
    </w:p>
    <w:p w14:paraId="4B8E3E57" w14:textId="4D5BC753" w:rsidR="009A6B7E" w:rsidRDefault="009A6B7E" w:rsidP="009A6B7E">
      <w:pPr>
        <w:pStyle w:val="af5"/>
        <w:numPr>
          <w:ilvl w:val="0"/>
          <w:numId w:val="42"/>
        </w:numPr>
      </w:pPr>
      <w:r>
        <w:rPr>
          <w:rFonts w:hint="eastAsia"/>
        </w:rPr>
        <w:t>大宗材料实行季度价格锁定机制。</w:t>
      </w:r>
    </w:p>
    <w:p w14:paraId="224E5E9A" w14:textId="0D2171BF" w:rsidR="009A6B7E" w:rsidRDefault="009A6B7E" w:rsidP="009A6B7E">
      <w:pPr>
        <w:pStyle w:val="affd"/>
        <w:spacing w:before="120" w:after="120"/>
      </w:pPr>
      <w:bookmarkStart w:id="95" w:name="_Toc212204715"/>
      <w:bookmarkStart w:id="96" w:name="_Toc212204779"/>
      <w:r>
        <w:rPr>
          <w:rFonts w:hint="eastAsia"/>
        </w:rPr>
        <w:t>设备系统成本优化</w:t>
      </w:r>
      <w:bookmarkEnd w:id="95"/>
      <w:bookmarkEnd w:id="96"/>
    </w:p>
    <w:p w14:paraId="6B86E1E2" w14:textId="2DDC425B" w:rsidR="009A6B7E" w:rsidRDefault="009A6B7E" w:rsidP="009A6B7E">
      <w:pPr>
        <w:pStyle w:val="afffffffff3"/>
      </w:pPr>
      <w:r w:rsidRPr="009A6B7E">
        <w:rPr>
          <w:rFonts w:hint="eastAsia"/>
        </w:rPr>
        <w:t>建立主要设备能效等级与成本关联数据库：</w:t>
      </w:r>
    </w:p>
    <w:p w14:paraId="6D3CE4EE" w14:textId="2BEB9B0B" w:rsidR="009A6B7E" w:rsidRDefault="009A6B7E" w:rsidP="009A6B7E">
      <w:pPr>
        <w:pStyle w:val="af5"/>
        <w:numPr>
          <w:ilvl w:val="0"/>
          <w:numId w:val="43"/>
        </w:numPr>
      </w:pPr>
      <w:r>
        <w:rPr>
          <w:rFonts w:hint="eastAsia"/>
        </w:rPr>
        <w:t>记录不同能效等级设备的市场报价；</w:t>
      </w:r>
    </w:p>
    <w:p w14:paraId="54276B2E" w14:textId="08A7CBD7" w:rsidR="009A6B7E" w:rsidRDefault="009A6B7E" w:rsidP="009A6B7E">
      <w:pPr>
        <w:pStyle w:val="af5"/>
        <w:numPr>
          <w:ilvl w:val="0"/>
          <w:numId w:val="43"/>
        </w:numPr>
      </w:pPr>
      <w:r>
        <w:rPr>
          <w:rFonts w:hint="eastAsia"/>
        </w:rPr>
        <w:t>统计设备运行维护成本；</w:t>
      </w:r>
    </w:p>
    <w:p w14:paraId="3AA477FC" w14:textId="2843BE97" w:rsidR="009A6B7E" w:rsidRDefault="009A6B7E" w:rsidP="009A6B7E">
      <w:pPr>
        <w:pStyle w:val="af5"/>
        <w:numPr>
          <w:ilvl w:val="0"/>
          <w:numId w:val="43"/>
        </w:numPr>
      </w:pPr>
      <w:r>
        <w:rPr>
          <w:rFonts w:hint="eastAsia"/>
        </w:rPr>
        <w:t>分析设备更新改造周期。</w:t>
      </w:r>
    </w:p>
    <w:p w14:paraId="1980EDAC" w14:textId="5CE13CA1" w:rsidR="009A6B7E" w:rsidRDefault="009A6B7E" w:rsidP="009A6B7E">
      <w:pPr>
        <w:pStyle w:val="afffffffff3"/>
      </w:pPr>
      <w:r w:rsidRPr="009A6B7E">
        <w:rPr>
          <w:rFonts w:hint="eastAsia"/>
        </w:rPr>
        <w:t>制定设备选型标准：</w:t>
      </w:r>
    </w:p>
    <w:p w14:paraId="4CF727EA" w14:textId="11DDFD8C" w:rsidR="009A6B7E" w:rsidRDefault="009A6B7E" w:rsidP="009A6B7E">
      <w:pPr>
        <w:pStyle w:val="af5"/>
        <w:numPr>
          <w:ilvl w:val="0"/>
          <w:numId w:val="44"/>
        </w:numPr>
      </w:pPr>
      <w:r>
        <w:rPr>
          <w:rFonts w:hint="eastAsia"/>
        </w:rPr>
        <w:t>冷水机组综合性能系数不低于GB</w:t>
      </w:r>
      <w:r w:rsidR="002E137F">
        <w:rPr>
          <w:rFonts w:hint="eastAsia"/>
        </w:rPr>
        <w:t xml:space="preserve"> </w:t>
      </w:r>
      <w:r>
        <w:rPr>
          <w:rFonts w:hint="eastAsia"/>
        </w:rPr>
        <w:t>50189规定值的1.1倍；</w:t>
      </w:r>
    </w:p>
    <w:p w14:paraId="40C32C1A" w14:textId="0C549132" w:rsidR="009A6B7E" w:rsidRDefault="009A6B7E" w:rsidP="009A6B7E">
      <w:pPr>
        <w:pStyle w:val="af5"/>
        <w:numPr>
          <w:ilvl w:val="0"/>
          <w:numId w:val="44"/>
        </w:numPr>
      </w:pPr>
      <w:r>
        <w:rPr>
          <w:rFonts w:hint="eastAsia"/>
        </w:rPr>
        <w:t>水泵效率不低于GB</w:t>
      </w:r>
      <w:r w:rsidR="002E137F">
        <w:rPr>
          <w:rFonts w:hint="eastAsia"/>
        </w:rPr>
        <w:t xml:space="preserve"> </w:t>
      </w:r>
      <w:r>
        <w:rPr>
          <w:rFonts w:hint="eastAsia"/>
        </w:rPr>
        <w:t>19762规定的节能评价值；</w:t>
      </w:r>
    </w:p>
    <w:p w14:paraId="7094417E" w14:textId="12048F03" w:rsidR="009A6B7E" w:rsidRDefault="009A6B7E" w:rsidP="009A6B7E">
      <w:pPr>
        <w:pStyle w:val="af5"/>
        <w:numPr>
          <w:ilvl w:val="0"/>
          <w:numId w:val="44"/>
        </w:numPr>
      </w:pPr>
      <w:r>
        <w:rPr>
          <w:rFonts w:hint="eastAsia"/>
        </w:rPr>
        <w:t>风机单位风量耗功率比标准规定值低20%以上。</w:t>
      </w:r>
    </w:p>
    <w:p w14:paraId="19806126" w14:textId="26194468" w:rsidR="009A6B7E" w:rsidRDefault="009A6B7E" w:rsidP="009A6B7E">
      <w:pPr>
        <w:pStyle w:val="afffffffff3"/>
      </w:pPr>
      <w:r w:rsidRPr="009A6B7E">
        <w:rPr>
          <w:rFonts w:hint="eastAsia"/>
        </w:rPr>
        <w:t>实施设备系统优化：</w:t>
      </w:r>
    </w:p>
    <w:p w14:paraId="58ABB7BE" w14:textId="0E9578AC" w:rsidR="009A6B7E" w:rsidRDefault="009A6B7E" w:rsidP="009A6B7E">
      <w:pPr>
        <w:pStyle w:val="af5"/>
        <w:numPr>
          <w:ilvl w:val="0"/>
          <w:numId w:val="45"/>
        </w:numPr>
      </w:pPr>
      <w:r>
        <w:rPr>
          <w:rFonts w:hint="eastAsia"/>
        </w:rPr>
        <w:t>采用设备群控系统；</w:t>
      </w:r>
    </w:p>
    <w:p w14:paraId="4EB4EB89" w14:textId="17431F73" w:rsidR="009A6B7E" w:rsidRDefault="009A6B7E" w:rsidP="009A6B7E">
      <w:pPr>
        <w:pStyle w:val="af5"/>
        <w:numPr>
          <w:ilvl w:val="0"/>
          <w:numId w:val="45"/>
        </w:numPr>
      </w:pPr>
      <w:r>
        <w:rPr>
          <w:rFonts w:hint="eastAsia"/>
        </w:rPr>
        <w:t>设置设备运行参数自动调节功能；</w:t>
      </w:r>
    </w:p>
    <w:p w14:paraId="74D317EC" w14:textId="051A44C4" w:rsidR="009A6B7E" w:rsidRDefault="009A6B7E" w:rsidP="009A6B7E">
      <w:pPr>
        <w:pStyle w:val="af5"/>
        <w:numPr>
          <w:ilvl w:val="0"/>
          <w:numId w:val="45"/>
        </w:numPr>
      </w:pPr>
      <w:r>
        <w:rPr>
          <w:rFonts w:hint="eastAsia"/>
        </w:rPr>
        <w:t>建立设备故障预警系统。</w:t>
      </w:r>
    </w:p>
    <w:p w14:paraId="57EF29E7" w14:textId="5EDBBCBD" w:rsidR="009A6B7E" w:rsidRDefault="009A6B7E" w:rsidP="009A6B7E">
      <w:pPr>
        <w:pStyle w:val="affc"/>
        <w:spacing w:before="240" w:after="240"/>
      </w:pPr>
      <w:bookmarkStart w:id="97" w:name="_Toc212204716"/>
      <w:bookmarkStart w:id="98" w:name="_Toc212204780"/>
      <w:r>
        <w:rPr>
          <w:rFonts w:hint="eastAsia"/>
        </w:rPr>
        <w:t>造价数据采集与更新</w:t>
      </w:r>
      <w:bookmarkEnd w:id="97"/>
      <w:bookmarkEnd w:id="98"/>
    </w:p>
    <w:p w14:paraId="0EDB4D92" w14:textId="73FCC4C2" w:rsidR="009A6B7E" w:rsidRDefault="009A6B7E" w:rsidP="009A6B7E">
      <w:pPr>
        <w:pStyle w:val="affd"/>
        <w:spacing w:before="120" w:after="120"/>
      </w:pPr>
      <w:bookmarkStart w:id="99" w:name="_Toc212204717"/>
      <w:bookmarkStart w:id="100" w:name="_Toc212204781"/>
      <w:r>
        <w:rPr>
          <w:rFonts w:hint="eastAsia"/>
        </w:rPr>
        <w:t>数据采集</w:t>
      </w:r>
      <w:bookmarkEnd w:id="99"/>
      <w:bookmarkEnd w:id="100"/>
    </w:p>
    <w:p w14:paraId="4DBA09BD" w14:textId="77777777" w:rsidR="009A6B7E" w:rsidRDefault="009A6B7E" w:rsidP="009A6B7E">
      <w:pPr>
        <w:pStyle w:val="afffffffff3"/>
      </w:pPr>
      <w:r>
        <w:rPr>
          <w:rFonts w:hint="eastAsia"/>
        </w:rPr>
        <w:t>数据采集主体包括行业协会、工程造价管理机构、建设单位及造价咨询企业。</w:t>
      </w:r>
    </w:p>
    <w:p w14:paraId="1EF55909" w14:textId="2EC720E1" w:rsidR="009A6B7E" w:rsidRDefault="009A6B7E" w:rsidP="009A6B7E">
      <w:pPr>
        <w:pStyle w:val="afffffffff3"/>
      </w:pPr>
      <w:r>
        <w:rPr>
          <w:rFonts w:hint="eastAsia"/>
        </w:rPr>
        <w:t>采集对象为已竣工结算的绿色建筑项目，数据应真实、准确、完整。</w:t>
      </w:r>
    </w:p>
    <w:p w14:paraId="7E447232" w14:textId="56236026" w:rsidR="009A6B7E" w:rsidRDefault="009A6B7E" w:rsidP="009A6B7E">
      <w:pPr>
        <w:pStyle w:val="affd"/>
        <w:spacing w:before="120" w:after="120"/>
      </w:pPr>
      <w:bookmarkStart w:id="101" w:name="_Toc212204718"/>
      <w:bookmarkStart w:id="102" w:name="_Toc212204782"/>
      <w:r>
        <w:rPr>
          <w:rFonts w:hint="eastAsia"/>
        </w:rPr>
        <w:t>数据更新</w:t>
      </w:r>
      <w:bookmarkEnd w:id="101"/>
      <w:bookmarkEnd w:id="102"/>
    </w:p>
    <w:p w14:paraId="481D1DC0" w14:textId="77777777" w:rsidR="009A6B7E" w:rsidRDefault="009A6B7E" w:rsidP="009A6B7E">
      <w:pPr>
        <w:pStyle w:val="afffffffff3"/>
      </w:pPr>
      <w:r>
        <w:rPr>
          <w:rFonts w:hint="eastAsia"/>
        </w:rPr>
        <w:t>造价指标和绿色增量成本参考指标应每年发布一次。</w:t>
      </w:r>
    </w:p>
    <w:p w14:paraId="118C2638" w14:textId="68548CB0" w:rsidR="009A6B7E" w:rsidRPr="009A6B7E" w:rsidRDefault="009A6B7E" w:rsidP="009A6B7E">
      <w:pPr>
        <w:pStyle w:val="afffffffff3"/>
      </w:pPr>
      <w:r>
        <w:rPr>
          <w:rFonts w:hint="eastAsia"/>
        </w:rPr>
        <w:t>指标的更新应基于最新采集的市场数据和项目数据，并反映绿色建筑技术发展、主要建筑材料价格变动及政策标准的调整。</w:t>
      </w:r>
    </w:p>
    <w:p w14:paraId="1010A59E" w14:textId="77777777" w:rsidR="00A841C2" w:rsidRPr="009A6B7E" w:rsidRDefault="00A841C2" w:rsidP="00A841C2">
      <w:pPr>
        <w:jc w:val="right"/>
      </w:pPr>
    </w:p>
    <w:p w14:paraId="7DBCE048" w14:textId="77777777" w:rsidR="00A66E72" w:rsidRPr="009A6B7E" w:rsidRDefault="00A66E72" w:rsidP="00A841C2">
      <w:pPr>
        <w:jc w:val="right"/>
      </w:pPr>
    </w:p>
    <w:bookmarkEnd w:id="6"/>
    <w:p w14:paraId="5328A519" w14:textId="77777777" w:rsidR="008E68C3" w:rsidRDefault="00000000">
      <w:pPr>
        <w:pStyle w:val="afffffffffffc"/>
        <w:framePr w:wrap="around"/>
        <w:jc w:val="center"/>
      </w:pPr>
      <w:r>
        <w:t>_________________________________</w:t>
      </w:r>
    </w:p>
    <w:sectPr w:rsidR="008E68C3">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57682" w14:textId="77777777" w:rsidR="003C084C" w:rsidRDefault="003C084C">
      <w:pPr>
        <w:spacing w:line="240" w:lineRule="auto"/>
      </w:pPr>
      <w:r>
        <w:separator/>
      </w:r>
    </w:p>
  </w:endnote>
  <w:endnote w:type="continuationSeparator" w:id="0">
    <w:p w14:paraId="76285AF6" w14:textId="77777777" w:rsidR="003C084C" w:rsidRDefault="003C0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20492962" w14:textId="77777777" w:rsidR="008E68C3"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31C568E6" w14:textId="77777777" w:rsidR="008E68C3" w:rsidRDefault="008E68C3">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14AF" w14:textId="77777777" w:rsidR="008E68C3" w:rsidRDefault="008E68C3">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8E84" w14:textId="77777777" w:rsidR="008E68C3"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5278" w14:textId="77777777" w:rsidR="008E68C3"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EF2C" w14:textId="452228DE" w:rsidR="00A841C2" w:rsidRDefault="00A841C2">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43E7" w14:textId="77777777" w:rsidR="003C084C" w:rsidRDefault="003C084C">
      <w:pPr>
        <w:spacing w:line="240" w:lineRule="auto"/>
      </w:pPr>
      <w:r>
        <w:separator/>
      </w:r>
    </w:p>
  </w:footnote>
  <w:footnote w:type="continuationSeparator" w:id="0">
    <w:p w14:paraId="65FAEE2D" w14:textId="77777777" w:rsidR="003C084C" w:rsidRDefault="003C08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3F63" w14:textId="77777777" w:rsidR="008E68C3" w:rsidRDefault="00000000">
    <w:pPr>
      <w:pStyle w:val="afffffc"/>
      <w:wordWrap w:val="0"/>
      <w:rPr>
        <w:rFonts w:hint="eastAsia"/>
      </w:rPr>
    </w:pPr>
    <w:r>
      <w:rPr>
        <w:rFonts w:hint="eastAsia"/>
      </w:rPr>
      <w:t>T/CI 351-2024</w:t>
    </w:r>
  </w:p>
  <w:p w14:paraId="5C1993DB" w14:textId="77777777" w:rsidR="008E68C3" w:rsidRDefault="008E68C3">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C353" w14:textId="77777777" w:rsidR="002E137F" w:rsidRDefault="002E137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D2A6" w14:textId="77777777" w:rsidR="002E137F" w:rsidRDefault="002E137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25CB" w14:textId="77777777" w:rsidR="008E68C3"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07C4" w14:textId="77777777" w:rsidR="008E68C3"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51664393">
    <w:abstractNumId w:val="0"/>
  </w:num>
  <w:num w:numId="2" w16cid:durableId="233130413">
    <w:abstractNumId w:val="27"/>
  </w:num>
  <w:num w:numId="3" w16cid:durableId="761730446">
    <w:abstractNumId w:val="5"/>
  </w:num>
  <w:num w:numId="4" w16cid:durableId="2025204659">
    <w:abstractNumId w:val="23"/>
  </w:num>
  <w:num w:numId="5" w16cid:durableId="1383213211">
    <w:abstractNumId w:val="18"/>
  </w:num>
  <w:num w:numId="6" w16cid:durableId="1900700751">
    <w:abstractNumId w:val="13"/>
  </w:num>
  <w:num w:numId="7" w16cid:durableId="795293545">
    <w:abstractNumId w:val="8"/>
  </w:num>
  <w:num w:numId="8" w16cid:durableId="318004337">
    <w:abstractNumId w:val="3"/>
  </w:num>
  <w:num w:numId="9" w16cid:durableId="1797410415">
    <w:abstractNumId w:val="9"/>
  </w:num>
  <w:num w:numId="10" w16cid:durableId="260257915">
    <w:abstractNumId w:val="16"/>
  </w:num>
  <w:num w:numId="11" w16cid:durableId="1019548908">
    <w:abstractNumId w:val="25"/>
  </w:num>
  <w:num w:numId="12" w16cid:durableId="1362517477">
    <w:abstractNumId w:val="11"/>
  </w:num>
  <w:num w:numId="13" w16cid:durableId="174613292">
    <w:abstractNumId w:val="12"/>
  </w:num>
  <w:num w:numId="14" w16cid:durableId="1082289873">
    <w:abstractNumId w:val="7"/>
  </w:num>
  <w:num w:numId="15" w16cid:durableId="1847398162">
    <w:abstractNumId w:val="19"/>
  </w:num>
  <w:num w:numId="16" w16cid:durableId="1299215713">
    <w:abstractNumId w:val="21"/>
  </w:num>
  <w:num w:numId="17" w16cid:durableId="1908220591">
    <w:abstractNumId w:val="17"/>
  </w:num>
  <w:num w:numId="18" w16cid:durableId="1474373213">
    <w:abstractNumId w:val="29"/>
  </w:num>
  <w:num w:numId="19" w16cid:durableId="1903902897">
    <w:abstractNumId w:val="15"/>
  </w:num>
  <w:num w:numId="20" w16cid:durableId="153300899">
    <w:abstractNumId w:val="1"/>
  </w:num>
  <w:num w:numId="21" w16cid:durableId="1975525344">
    <w:abstractNumId w:val="10"/>
  </w:num>
  <w:num w:numId="22" w16cid:durableId="1295407550">
    <w:abstractNumId w:val="30"/>
  </w:num>
  <w:num w:numId="23" w16cid:durableId="90704770">
    <w:abstractNumId w:val="20"/>
  </w:num>
  <w:num w:numId="24" w16cid:durableId="120536437">
    <w:abstractNumId w:val="6"/>
  </w:num>
  <w:num w:numId="25" w16cid:durableId="340855344">
    <w:abstractNumId w:val="26"/>
  </w:num>
  <w:num w:numId="26" w16cid:durableId="1910774037">
    <w:abstractNumId w:val="28"/>
  </w:num>
  <w:num w:numId="27" w16cid:durableId="1189102686">
    <w:abstractNumId w:val="2"/>
  </w:num>
  <w:num w:numId="28" w16cid:durableId="1933126831">
    <w:abstractNumId w:val="4"/>
  </w:num>
  <w:num w:numId="29" w16cid:durableId="1563565528">
    <w:abstractNumId w:val="14"/>
  </w:num>
  <w:num w:numId="30" w16cid:durableId="954335250">
    <w:abstractNumId w:val="24"/>
  </w:num>
  <w:num w:numId="31" w16cid:durableId="1040594687">
    <w:abstractNumId w:val="22"/>
  </w:num>
  <w:num w:numId="32" w16cid:durableId="1601450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5428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27020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127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06857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5587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38609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23684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46058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04593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0100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34126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539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61564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716"/>
    <w:rsid w:val="000A7311"/>
    <w:rsid w:val="000B060F"/>
    <w:rsid w:val="000B1592"/>
    <w:rsid w:val="000B1FF2"/>
    <w:rsid w:val="000B332B"/>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65C5"/>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AA8"/>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5F15"/>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137F"/>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5EFE"/>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84C"/>
    <w:rsid w:val="003C0A6C"/>
    <w:rsid w:val="003C14F8"/>
    <w:rsid w:val="003C57D5"/>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890"/>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6DD4"/>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19F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8C3"/>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6B7E"/>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E72"/>
    <w:rsid w:val="00A67866"/>
    <w:rsid w:val="00A70B07"/>
    <w:rsid w:val="00A723F8"/>
    <w:rsid w:val="00A77CCB"/>
    <w:rsid w:val="00A83D8D"/>
    <w:rsid w:val="00A841C2"/>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1D3C"/>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D34"/>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D95"/>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E7FE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683C5BA"/>
  <w15:docId w15:val="{514A0E7C-84B2-4BB5-84FC-60D52BFB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71</TotalTime>
  <Pages>8</Pages>
  <Words>1054</Words>
  <Characters>6014</Characters>
  <Application>Microsoft Office Word</Application>
  <DocSecurity>0</DocSecurity>
  <Lines>50</Lines>
  <Paragraphs>14</Paragraphs>
  <ScaleCrop>false</ScaleCrop>
  <Company>PCMI</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8</cp:revision>
  <cp:lastPrinted>2025-01-06T08:01:00Z</cp:lastPrinted>
  <dcterms:created xsi:type="dcterms:W3CDTF">2025-10-23T12:51:00Z</dcterms:created>
  <dcterms:modified xsi:type="dcterms:W3CDTF">2025-10-24T05:29:00Z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