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999"/>
      <w:bookmarkStart w:id="2" w:name="_Toc309993180"/>
      <w:bookmarkStart w:id="3" w:name="_Toc298937100"/>
      <w:bookmarkStart w:id="4" w:name="_Toc309994551"/>
      <w:bookmarkStart w:id="5" w:name="_Toc298938783"/>
      <w:bookmarkStart w:id="6" w:name="_Toc310002637"/>
      <w:bookmarkStart w:id="7" w:name="_Toc298937609"/>
      <w:bookmarkStart w:id="8" w:name="_Toc499110426"/>
      <w:bookmarkStart w:id="9" w:name="_Toc298936924"/>
      <w:bookmarkStart w:id="10" w:name="_Toc298936801"/>
      <w:bookmarkStart w:id="11" w:name="_Toc298937357"/>
      <w:bookmarkStart w:id="12" w:name="_Toc298937276"/>
      <w:bookmarkStart w:id="13" w:name="_Toc304824969"/>
      <w:bookmarkStart w:id="14" w:name="_Toc298937167"/>
      <w:bookmarkStart w:id="15" w:name="_Toc298937152"/>
      <w:bookmarkStart w:id="16" w:name="_Toc309995578"/>
      <w:bookmarkStart w:id="17" w:name="_Toc298938635"/>
      <w:bookmarkStart w:id="18" w:name="_Toc304828066"/>
      <w:bookmarkStart w:id="19" w:name="_Toc304402664"/>
      <w:bookmarkStart w:id="20" w:name="_Toc6138"/>
      <w:bookmarkStart w:id="21" w:name="_Toc309995390"/>
      <w:bookmarkStart w:id="22" w:name="_Toc298937419"/>
      <w:bookmarkStart w:id="23" w:name="_Toc309995472"/>
      <w:bookmarkStart w:id="24" w:name="_Toc298937462"/>
      <w:bookmarkStart w:id="25" w:name="_Toc304825081"/>
      <w:bookmarkStart w:id="26" w:name="_Toc309997040"/>
      <w:bookmarkStart w:id="27" w:name="_Toc37234703"/>
      <w:bookmarkStart w:id="28" w:name="_Toc298937188"/>
      <w:bookmarkStart w:id="29" w:name="_Toc304825008"/>
      <w:bookmarkStart w:id="30" w:name="_Toc298937322"/>
      <w:bookmarkStart w:id="31" w:name="_Toc298923383"/>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《水利枢纽生态流量动态调控技术规范》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2025年10月20日，中国西部开发促进会发布《水利枢纽生态流量动态调控技术规范》团体标准立项通知,开展团体标准的编制工作。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水利枢纽生态流量动态调控技术规范》的核心目的，在于建立一套科学、精准、可操作的生态流量管理技术标准体系。该规范旨在通过系统规定水利枢纽生态流量核定、动态调控模式、监测预警、效果评估及适应性管理的技术方法、流程与指标，解决当前生态流量管理中存在的“一刀切”、与水文节律脱节等突出问题，其根本目标是保障河流生态系统健康，协调水资源开发利用与生态保护的关系，实现水利枢纽的绿色、可持续发展。</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制定与实施具有承上启下的重要意义。承上，它是贯彻落实国家生态文明建设战略和《长江保护法》《黄河保护法》等法律法规中关于“保障生态流量”要求的具体技术体现，将宏观政策导向转化为可落地、可考核的技术细则。启下，它通过引入“动态调控”的先进理念，推动生态流量管理从静态的、固定的泄放模式，向与天然水文节律、生物生命周期需求相协同的动态、精准模式转变。这不仅能显著提升河流生态修复与保护的效果，也为水利枢纽的优化运行提供了科学依据，对推动水利行业从传统的工程水利向生态水利转型升级具有关键的引领和规范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编制本规范是应对当前生态流量管理挑战与落实最严格水资源管理制度的迫切必要之举：是解决现有生态流量管理粗放、生态效益不佳问题的迫切需要。 当前许多水利枢纽仅按“多年平均流量的10%”等固定比例下泄生态流量，这种静态管理模式忽视了河流生态系统的动态需求，导致生态效益大打折扣。亟需一部技术规范来指导和规范更为精细化的动态调控实践；是适应流域水文情势变化、提升水资源调度科学性的内在要求。 在气候变化和人类活动双重影响下，流域水文情势不确定性增强。通过动态调控，可以更灵活地应对丰枯变化，在保障生态底线的同时，提高水资源的综合利用效率，这需要统一的技术标准作为支撑；是填补标准空白、统一行业技术行为的必然选择。目前生态流量管理在技术方法、调控模式、效果评估等方面缺乏统一的国家或行业标准，导致各地、各工程做法不一，管理水平参差不齐。制定一部综合性的技术规范，可以整合先进技术与成功经验，为全行业提供权威的技术指引，保障生态流量管理工作的规范、高效开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河南黄河勘测规划设计研究院有限公司等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河南黄河勘测规划设计研究院有限公司等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河流生态保护、生态流量管理相关的法规政策、技术标准与成功案例，调研我国不同类型水利枢纽（如水库、闸坝）的生态流量泄放现状、调控技术应用、监测体系建设情况及实际管理需求。通过实地考察典型水利枢纽、流域管理机构，结合问卷调查与水文、生态领域专家访谈，深入分析当前在生态需求识别、动态调控模型、监测预警及多目标协同调度等方面的技术瓶颈与管理难点，明确标准化需求，形成全面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前期调研分析，明确本标准《水利枢纽生态流量动态调控技术规范》的编制范围、核心内容与预期目标，重点涵盖生态流量核定方法、动态调控模式与阈值、监测预警技术、调控效果评估及适应性管理等方面的技术要求。据此编制详细的立项建议书与相关论证材料，正式提交至归口管理的团体标准管理机构，经审议通过后予以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组建由流域管理机构、水利枢纽运行单位、科研院所、高校、生态与环境研究机构及行业协会专家组成的标准起草工作组。紧密结合调研成果、科学研究与工程实践，严格遵循GB/T 1.1《标准化工作导则》的规则，搭建标准整体框架，并逐章逐节细化“术语和定义”、“基本规定”、“生态流量核定”、“动态调控技术”、“监测与预警”、“效果评估与适应性管理”等核心章节的技术内容、流程方法与控制指标。完成标准草案初稿后，组织起草组内部多次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归口管理机构官方平台、行业媒体、专业会议等多种渠道，向社会公开发布征求意见，同时定向征求重点流域管理机构、水利枢纽管理单位、设计院、生态环境部门、科研机构及相关领域资深专家的意见。对收集到的所有反馈建议进行系统梳理、科学论证和汇总，据此对标准草案进行有针对性的修改与优化，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建立了完整的生态流量调控验证体系，通过规定Tennant法、7Q10法、湿周法等多种生态流量计算方法，以及流量过程吻合度（目标与实测流量相关系数≥0.8）、脉冲次数达标率≥90%等具体评估指标，为生态流量调控效果提供了科学的验证依据。规范中明确的水文要素监测精度（流量±5%、水位±1cm）、水质监测频率（常规指标1次/周）和生态要素监测要求，形成了从水文情势到生态响应的多维度、可量化的验证链条。</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水利枢纽生态流量动态调控的全面技术体系，涵盖了生态需求分析、流量确定方法、动态调控模式、监测监控和效果评估等全流程技术环节。系统规定了基准流量、脉冲式、季节性等多元化调控模式，首次将生态调度与水文预报、生态监测深度融合，明确了调控阈值、速率控制及应急响应机制，为水利枢纽实现"生态优先、科学调控"提供了系统化、精细化的技术指引。</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通过标准化动态调控和优化调度，可在保障生态效益的同时实现经济合理性。虽然建设在线监测系统、改造生态泄流设施等初期投入会增加工程总投资的5-8%，但通过优化水资源配置、提高发电效率（在生态约束下）、减少环境治理成本等途径，可显著提升项目综合效益。规范的精准调控要求避免了水资源的无效泄放，预计可使生态用水效率提升15%以上，实现生态保护与经济效益的协同。</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预计可通过优化调度提升水能利用效率3-5%，为水利枢纽带来直接的发电收益。通过保障河流健康，可减少下游水环境治理费用20%以上，并提升沿岸农业、渔业产值。规范的推广还将带动环境监测、生态修复等相关产业发展，创造新的经济增长点，其间接经济效益远超直接投入。</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保障城乡供水安全和河流生态健康，提升人民生活品质；促进流域可持续发展，维护社会和谐稳定；推动水利行业向生态友好型转型，践行生态文明理念。生态效益方面：显著改善河流水文情势，使水文情势改变度≤30%；提升水生生物多样性，Shannon指数年增幅不低于5%；改善水质，使Ⅲ类及以上水质比例≥80%，对恢复河流生命健康、维护生物多样性和实现人水和谐具有重大意义。</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26"/>
      <w:bookmarkStart w:id="36" w:name="_Toc26648466"/>
      <w:bookmarkStart w:id="37" w:name="_Toc24884212"/>
      <w:bookmarkStart w:id="38" w:name="_Toc17233334"/>
      <w:bookmarkStart w:id="39" w:name="_Toc24884219"/>
      <w:r>
        <w:rPr>
          <w:rFonts w:hint="eastAsia" w:ascii="仿宋" w:hAnsi="仿宋" w:eastAsia="仿宋" w:cs="仿宋"/>
          <w:sz w:val="21"/>
          <w:szCs w:val="21"/>
          <w:lang w:val="en-US" w:eastAsia="zh-CN"/>
        </w:rPr>
        <w:t>本章明确了本规范的适用范围，涵盖水库、水闸、堤防等水利枢纽的生态流量动态调控与管理工作，规定了生态流量确定、动态调控方法、监测监控、效果评估等核心技术内容。</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718931"/>
      <w:bookmarkStart w:id="42" w:name="_Toc26986772"/>
      <w:bookmarkStart w:id="43" w:name="_Toc11915"/>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3517B3D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3838 地表水环境质量标准</w:t>
      </w:r>
    </w:p>
    <w:p w14:paraId="1125594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50179 河流流量测验规范</w:t>
      </w:r>
    </w:p>
    <w:p w14:paraId="78A3958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SL 58 水文测量规范</w:t>
      </w:r>
    </w:p>
    <w:p w14:paraId="5851A100">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SL 219 水环境监测规范</w:t>
      </w:r>
    </w:p>
    <w:p w14:paraId="22C2FBA0">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SL/T 712 河湖生态环境需水计算规范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对"生态流量"、"动态调控"、"生态调度"、"脉冲泄流"等核心术语作出明确定义，为规范的理解与执行提供统一的概念基础。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提出了生态流量动态调控应遵循"生态优先、统筹兼顾、科学调控"的原则，要求建立管理制度、完善监测体系、定期开展效果评估，并保证泄放设施运行可靠。</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生态流量确定</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生态需求分析、计算方法和阈值确定三部分，详细规定了水生生物需求、水质净化需求和河流地貌维持需求的分析方法，以及水文学法、水力学法、生境模拟法等计算方法，明确了最小生态流量和适宜生态流量的具体阈值。</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动态调控模式</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调控模式、调控措施和应急预案三个方面，系统规定了基准流量调控、脉冲式调控、季节性调控等模式，明确了泄流设施选择、调控时机确定、调控过程控制等具体措施，以及极端水文条件和突发污染事件的应急处理方案。</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监测监控</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监测内容、监测要求和监控系统三个维度，详细规定了水文要素、水质指标、生态要素的监测要求，明确了监测点位布设、监测频率确定、监测数据管理等具体要求，以及自动监测设备、数据传输系统和监控平台的建设标准。</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8.效果评估</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评估内容、评估方法和改进措施的具体要求，包括水文情势改善效果、水质改善效果和生态恢复效果的评估指标，以及指标评价法、对比分析法、模型模拟法等评估方法，并提出了调控方案优化、管理措施完善和长效机制建立等改进措施</w:t>
      </w:r>
      <w:bookmarkStart w:id="54" w:name="_GoBack"/>
      <w:bookmarkEnd w:id="54"/>
      <w:r>
        <w:rPr>
          <w:rFonts w:hint="eastAsia" w:ascii="仿宋" w:hAnsi="仿宋" w:eastAsia="仿宋" w:cs="仿宋"/>
          <w:sz w:val="21"/>
          <w:szCs w:val="21"/>
          <w:lang w:val="en-US" w:eastAsia="zh-CN" w:bidi="ar-SA"/>
        </w:rPr>
        <w:t>。</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9236BB2"/>
    <w:rsid w:val="29287901"/>
    <w:rsid w:val="2935321D"/>
    <w:rsid w:val="29BB2216"/>
    <w:rsid w:val="2A677F6B"/>
    <w:rsid w:val="2BBA5A9A"/>
    <w:rsid w:val="2C386CC9"/>
    <w:rsid w:val="2C5B2595"/>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3978</Words>
  <Characters>4145</Characters>
  <Lines>17</Lines>
  <Paragraphs>4</Paragraphs>
  <TotalTime>2</TotalTime>
  <ScaleCrop>false</ScaleCrop>
  <LinksUpToDate>false</LinksUpToDate>
  <CharactersWithSpaces>4178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2025-11-03T03:06:00Z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20CC8685B6F64CFAAABD3477DD45BA46_13</vt:lpwstr>
  </property>
  <property fmtid="{D5CDD505-2E9C-101B-9397-08002B2CF9AE}" pid="4" name="KSOTemplateDocerSaveRecord">
    <vt:lpwstr>eyJoZGlkIjoiMzEwNTM5NzYwMDRjMzkwZTVkZjY2ODkwMGIxNGU0OTUiLCJ1c2VySWQiOiI1OTM0Mzk3OTEifQ==</vt:lpwstr>
  </property>
</Properties>
</file>