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5390"/>
      <w:bookmarkStart w:id="1" w:name="_Toc309995578"/>
      <w:bookmarkStart w:id="2" w:name="_Toc304825081"/>
      <w:bookmarkStart w:id="3" w:name="_Toc309994551"/>
      <w:bookmarkStart w:id="4" w:name="_Toc298937152"/>
      <w:bookmarkStart w:id="5" w:name="_Toc298937201"/>
      <w:bookmarkStart w:id="6" w:name="_Toc309995472"/>
      <w:bookmarkStart w:id="7" w:name="_Toc298937100"/>
      <w:bookmarkStart w:id="8" w:name="_Toc309995999"/>
      <w:bookmarkStart w:id="9" w:name="_Toc304825008"/>
      <w:bookmarkStart w:id="10" w:name="_Toc298923383"/>
      <w:bookmarkStart w:id="11" w:name="_Toc6138"/>
      <w:bookmarkStart w:id="12" w:name="_Toc499110426"/>
      <w:bookmarkStart w:id="13" w:name="_Toc298937609"/>
      <w:bookmarkStart w:id="14" w:name="_Toc309997040"/>
      <w:bookmarkStart w:id="15" w:name="_Toc310002637"/>
      <w:bookmarkStart w:id="16" w:name="_Toc309993180"/>
      <w:bookmarkStart w:id="17" w:name="_Toc298936924"/>
      <w:bookmarkStart w:id="18" w:name="_Toc298937462"/>
      <w:bookmarkStart w:id="19" w:name="_Toc298938783"/>
      <w:bookmarkStart w:id="20" w:name="_Toc298937167"/>
      <w:bookmarkStart w:id="21" w:name="_Toc298937188"/>
      <w:bookmarkStart w:id="22" w:name="_Toc298937419"/>
      <w:bookmarkStart w:id="23" w:name="_Toc304402664"/>
      <w:bookmarkStart w:id="24" w:name="_Toc298937276"/>
      <w:bookmarkStart w:id="25" w:name="_Toc298937322"/>
      <w:bookmarkStart w:id="26" w:name="_Toc304824969"/>
      <w:bookmarkStart w:id="27" w:name="_Toc298936801"/>
      <w:bookmarkStart w:id="28" w:name="_Toc298937357"/>
      <w:bookmarkStart w:id="29" w:name="_Toc298938635"/>
      <w:bookmarkStart w:id="30" w:name="_Toc304828066"/>
      <w:bookmarkStart w:id="31" w:name="_Toc37234703"/>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《城市排水管网水力模型构建与模拟分析规范》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2025年10月20日，中国西部开发促进会发布《城市排水管网水力模型构建与模拟分析规范》团体标准立项通知,开展团体标准的编制工作。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城市排水管网水力模型构建与模拟分析规范》的制定，旨在为城市排水系统的数字化管理、精细化模拟和科学化决策提供统一的技术依据与方法指导。其核心目的是规范排水管网水力模型的构建流程、数据标准、模拟方法与结果分析要求，解决当前模型中存在的参数不统一、验证不充分、结果不可比等问题，确保模型能够真实反映管网运行状态，为内涝防治、溢流控制、系统优化与应急调度提供可靠的分析工具。</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标准的意义在于推动排水管网管理从传统经验型向现代模型驱动型转变。通过建立规范的建模技术体系，使不同项目、不同团队构建的模型具备一致性与可比性，提升模拟结果的可信度与可用性。这不仅有助于优化管网规划设计与改造方案，提高排水系统运行效能，也为城市水环境治理、海绵城市建设及气候变化适应性规划提供了关键的技术支撑，是智慧水务建设中不可或缺的底层基础。</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我国城市排水系统面临的日益严峻的挑战。随着城市化进程加快，内涝、溢流污染等问题频发，传统管理手段已难以应对复杂系统的分析需求。然而，当前建模工作普遍存在数据质量参差不齐、方法选择随意、模型校准不足等乱象，导致大量模型“不好用、不适用”。因此，亟需制定统一规范，引导和规范行业实践，避免重复投入和资源浪费，确保模型真正服务于工程实践与管理决策，提升城市排水系统的整体韧性与安全保障能力。</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由浙江城建规划设计院有限公司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浙江城建规划设计院有限公司等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城市排水管网建模、水文水力模拟、智慧水务相关的国家标准、行业标准及团体标准，调研排水管网数据采集技术、模型构建方法、模拟分析平台应用现状及城市管理部门的实际需求。通过实地调研排水管理处、水务集团、设计院所及技术企业，结合问卷调查与专家访谈，分析当前排水管网水力模型在数据标准化、参数率定、验证方法和成果应用等方面的技术瓶颈与管理难点，形成详尽的调研分析报告，为标准编制提供实践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城市排水管网水力模型构建与模拟分析规范》的编制范围与核心内容，涵盖数据要求、模型构建流程、参数率定方法、模拟情景设计、结果分析与验证等方面的技术要求。编制立项申请书及相关材料，阐述其在提升城市排水系统数字化水平、辅助规划设计与运行调度方面的作用，提交至团体标准管理机构，经专家组评审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组建由城市排水主管部门、水务运营企业、规划设计单位、高校科研团队及建模软件企业专家参与的标准起草工作组。依据GB/T 1.1《标准化工作导则》搭建标准整体结构，结合行业实践与调研成果，细化数据格式、建模步骤、参数取值、模拟精度、成果输出等关键技术条款。完成标准草案初稿后，组织内部多轮研讨与修改，确保内容的科学性、适用性与可操作性。</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水务行业协会、标准化平台、技术论坛等渠道，向社会公开发布征求意见稿，定向征求排水运营单位、规划设计院、模型开发企业、科研机构及相关政府部门意见。重点收集关于数据质量要求、模型验证标准、情景设置合理性等方面的建议。起草组对反馈意见进行汇总、分析与处理，据此修改完善草案，形成征求意见稿及意见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试验验证的分析应围绕标准中规定的数据质量控制、模型构建、校准验证及不确定性分析等核心环节展开系统性测试。验证工作需选取不同规模、不同复杂程度的城市排水系统作为试点，依据标准要求开展从数据采集处理、模型拓扑构建、参数设定到多情景模拟分析的全流程建模，重点检验数据合格率、模型校准精度（如纳什效率系数≥0.6）、验证一致性等关键指标是否达标。同时，需对模型在不同降雨重现期、不同用地类型条件下的模拟稳定性与输出可靠性进行评估，以验证标准条款在实际工程中的适用性与可操作性，为标准的完善提供实证支撑。</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标准的综述报告表明，该文件是国内首个系统规范城市排水管网水力模型构建与模拟分析全过程的团体标准，具有全面性、科学性和前瞻性。它构建了一个涵盖数据采集、模型建立、校准验证、模拟分析、水质模拟、不确定性评估到成果评定与维护更新的完整技术体系，明确了各环节的技术指标、流程方法与质量要求。该标准的出台填补了排水管网数字化建模领域的标准空白，为城市内涝防治、溢流控制、系统优化与智慧水务建设提供了统一、可靠的技术依据。</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经济角度论证，本标准所提出的技术要求基于成熟的水力学原理与建模实践，具备较强的工程适用性与推广可行性。尽管初期需投入资源用于数据完善、监测设备布设与人员培训，但标准化建模可显著提高模型成果的准确性与复用性，避免因模型失真导致的工程误判与投资浪费。长期来看，标准实施将降低系统优化与改造的试错成本，提升排水设施的投资效益，具备良好的经济合理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经济效益方面，本标准的实施有助于城市排水系统实现精准规划、高效运营与科学改造。通过可靠的水力模型识别管网瓶颈与风险区域，可优化项目投资优先级，避免不必要的工程投入。同时，模型辅助的运行调度能提升现有管网排水能力，降低泵站能耗与运维成本。此外，标准推动的模型相关软件、设备与服务市场发展，也将形成新的产业增长点。</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与生态效益层面，本标准通过提升排水系统的模拟精度与预警能力，为城市内涝防治与公共安全提供关键技术支撑，有助于减少因暴雨内涝导致的人员伤亡与财产损失，增强社会应对极端天气的韧性。在生态方面，标准将水质模拟分析纳入规范，助力城市面源污染控制与溢流污染管理，促进水环境质量改善。同时，通过优化系统性能、辅助海绵设施布局，可增强城市雨水蓄渗与资源化利用能力，推动绿色、可持续的城市水循环系统建设。</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2"/>
      <w:bookmarkStart w:id="37" w:name="_Toc17233334"/>
      <w:bookmarkStart w:id="38" w:name="_Toc17233326"/>
      <w:bookmarkStart w:id="39" w:name="_Toc24884219"/>
      <w:r>
        <w:rPr>
          <w:rFonts w:hint="eastAsia" w:ascii="仿宋" w:hAnsi="仿宋" w:eastAsia="仿宋" w:cs="仿宋"/>
          <w:sz w:val="21"/>
          <w:szCs w:val="21"/>
          <w:lang w:val="en-US" w:eastAsia="zh-CN"/>
        </w:rPr>
        <w:t>本章明确了标准的适用范围，规定了城市排水管网水力模型构建与模拟分析的基本要求、数据采集与处理、模型构建、校准验证、模拟分析、水质模拟、不确定性分析、成果质量评定及模型维护更新等技术内容。适用于新建、改建和已建的城市排水管网水力模型的构建、模拟分析及成果应用。</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531"/>
      <w:bookmarkStart w:id="41" w:name="_Toc11915"/>
      <w:bookmarkStart w:id="42" w:name="_Toc26718931"/>
      <w:bookmarkStart w:id="43" w:name="_Toc26986772"/>
      <w:bookmarkStart w:id="44" w:name="_Toc11328259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796B01F">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18316 数字测绘成果质量检查与验收</w:t>
      </w:r>
    </w:p>
    <w:p w14:paraId="09CF39A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19000 质量管理体系 基础和术语</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GB/T 51051 水资源规划规范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对“排水管网水力模型”“节点”“管段”“糙率”“子汇水区”“模型校准”“模型验证”等关键术语进行了明确定义，为后续技术内容提供统一的概念基础。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提出了模型构建应遵循的“数据可靠、方法科学、结果可信”原则，明确了建模目标、数据质量、校准验证、成果归档和模型更新周期（不超过3年）等基本要求。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数据采集与处理</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规定了基础地理数据、管网数据、水文监测数据的采集内容、精度要求与质量控制方法，包括数据完整性、逻辑一致性、异常数据识别与修正记录等。</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模型构建</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涵盖了模型拓扑构建、参数设定、边界条件设置、子汇水区划分、降雨数据设置及模型软件要求，明确了节点间距、糙率取值、子汇水区面积控制、降雨历时与步长等具体技术指标。</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模型校准与验证</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规定了模型校准的标准（如纳什效率系数≥0.6）、验证要求（独立数据量≥30%）、校准方法（先手动后自动）及验证一致性要求，确保模型精度与可靠性。</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8.模型分析</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明确了稳态、动态与长期连续模拟的适用场景，设置了不同重现期降雨情景，规定了结果输出内容（如充满度、溢流量）与分析要求（如内涝风险评估、系统优化建议）。</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水质模拟分析</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提出了水质模拟的基本要求（基于已验证水力模型）、污染负荷估算方法（单位面积负荷法）及水质参数（累积系数、冲刷系数等）的确定方式，支持面源污染与溢流污染分析。</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模拟不确定性分析</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识别了不确定性来源（数据、模型结构、参数），提出了敏感性分析与蒙特卡洛模拟等方法，要求输出置信区间并评估对决策的影响。</w:t>
      </w:r>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11.成果质量评定</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建立了模型成果的评定等级（优、良、合格）、评定内容（数据质量、模型精度、成果完整性）与评定方法（专家打分与定量评价结合），确保成果可信可用。</w:t>
      </w:r>
    </w:p>
    <w:p w14:paraId="7278A90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12.模型维护与更新</w:t>
      </w:r>
    </w:p>
    <w:p w14:paraId="6C6BBCB2">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规定了模型的维护周期（每年核查、三年全面复核）、更新内容（管网、用地、降雨、监测数据）及档案管理要求（版本保存、记录完整、期限不少于15年）。</w:t>
      </w:r>
    </w:p>
    <w:p w14:paraId="2545AB1A">
      <w:pPr>
        <w:pStyle w:val="60"/>
        <w:numPr>
          <w:ilvl w:val="1"/>
          <w:numId w:val="0"/>
        </w:numPr>
        <w:spacing w:before="156" w:after="156"/>
        <w:rPr>
          <w:rFonts w:ascii="仿宋" w:hAnsi="仿宋" w:eastAsia="仿宋" w:cs="仿宋"/>
          <w:b/>
          <w:bCs/>
          <w:color w:val="000000"/>
          <w:sz w:val="21"/>
          <w:szCs w:val="21"/>
        </w:rPr>
      </w:pPr>
      <w:bookmarkStart w:id="56" w:name="_GoBack"/>
      <w:bookmarkEnd w:id="56"/>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5F2276"/>
    <w:rsid w:val="5BD72D72"/>
    <w:rsid w:val="5C10118B"/>
    <w:rsid w:val="5C2A169D"/>
    <w:rsid w:val="5CA05EB7"/>
    <w:rsid w:val="5CE07389"/>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4912</Words>
  <Characters>5072</Characters>
  <Lines>17</Lines>
  <Paragraphs>4</Paragraphs>
  <TotalTime>3</TotalTime>
  <ScaleCrop>false</ScaleCrop>
  <LinksUpToDate>false</LinksUpToDate>
  <CharactersWithSpaces>5102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2025-11-02T10:55:54Z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CC6EDF9ADFC942BCAAE5B62153E628AB_13</vt:lpwstr>
  </property>
  <property fmtid="{D5CDD505-2E9C-101B-9397-08002B2CF9AE}" pid="4" name="KSOTemplateDocerSaveRecord">
    <vt:lpwstr>eyJoZGlkIjoiMzEwNTM5NzYwMDRjMzkwZTVkZjY2ODkwMGIxNGU0OTUiLCJ1c2VySWQiOiI1OTM0Mzk3OTEifQ==</vt:lpwstr>
  </property>
</Properties>
</file>