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5999"/>
      <w:bookmarkStart w:id="1" w:name="_Toc298937201"/>
      <w:bookmarkStart w:id="2" w:name="_Toc309994551"/>
      <w:bookmarkStart w:id="3" w:name="_Toc309995472"/>
      <w:bookmarkStart w:id="4" w:name="_Toc298936924"/>
      <w:bookmarkStart w:id="5" w:name="_Toc298937419"/>
      <w:bookmarkStart w:id="6" w:name="_Toc304825081"/>
      <w:bookmarkStart w:id="7" w:name="_Toc298937462"/>
      <w:bookmarkStart w:id="8" w:name="_Toc298937609"/>
      <w:bookmarkStart w:id="9" w:name="_Toc298937100"/>
      <w:bookmarkStart w:id="10" w:name="_Toc298937276"/>
      <w:bookmarkStart w:id="11" w:name="_Toc298937167"/>
      <w:bookmarkStart w:id="12" w:name="_Toc298938783"/>
      <w:bookmarkStart w:id="13" w:name="_Toc310002637"/>
      <w:bookmarkStart w:id="14" w:name="_Toc499110426"/>
      <w:bookmarkStart w:id="15" w:name="_Toc304402664"/>
      <w:bookmarkStart w:id="16" w:name="_Toc304824969"/>
      <w:bookmarkStart w:id="17" w:name="_Toc309995578"/>
      <w:bookmarkStart w:id="18" w:name="_Toc298937188"/>
      <w:bookmarkStart w:id="19" w:name="_Toc309995390"/>
      <w:bookmarkStart w:id="20" w:name="_Toc304825008"/>
      <w:bookmarkStart w:id="21" w:name="_Toc298938635"/>
      <w:bookmarkStart w:id="22" w:name="_Toc37234703"/>
      <w:bookmarkStart w:id="23" w:name="_Toc298936801"/>
      <w:bookmarkStart w:id="24" w:name="_Toc6138"/>
      <w:bookmarkStart w:id="25" w:name="_Toc304828066"/>
      <w:bookmarkStart w:id="26" w:name="_Toc298937322"/>
      <w:bookmarkStart w:id="27" w:name="_Toc298937357"/>
      <w:bookmarkStart w:id="28" w:name="_Toc298923383"/>
      <w:bookmarkStart w:id="29" w:name="_Toc309997040"/>
      <w:bookmarkStart w:id="30" w:name="_Toc309993180"/>
      <w:bookmarkStart w:id="31" w:name="_Toc29893715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《工程给排水管道新型内衬材料非开挖修复技术规范》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2025年10月20日，中国西部开发促进会发布《工程给排水管道新型内衬材料非开挖修复技术规范》团体标准立项通知,开展团体标准的编制工作。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编制的核心目的在于，针对当前给排水管道修复领域中涌现的各类新型内衬材料与非开挖技术，建立一套统一、科学、规范的技术准则与应用指南。通过明确规定材料性能、设计方法、施工工艺、质量检验与验收标准，旨在规范市场行为，引导技术走向标准化与成熟化，确保非开挖修复工程的质量可靠、安全耐久，从而为设计、施工、验收及管理提供权威的技术依据。</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制定与实施具有显著的多重意义。在技术层面，它将推动新型内衬材料与非开挖修复技术的进步与优化，促进新技术、新工艺的规范化应用和迭代升级。在经济与社会层面，通过推广非开挖技术，能最大限度地减少对道路交通、市民出行及周边环境的干扰，有效降低社会成本，体现“绿色施工”理念。同时，规范的建立有助于提升行业整体水平，增强业主与公众对非开挖修复技术的信任度，为城市地下管线的长效安全运行提供关键保障。</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编制本标准的必要性十分迫切。随着我国城市化进程的深入，大量早期埋设的给排水管道已进入老化期，渗漏、破损等问题日益凸显，修复需求巨大。而传统“开膛破肚”式的开挖修复模式成本高、影响广，已难以适应现代城市管理的需要。尽管非开挖修复技术优势明显，市场应用日益广泛，但长期以来缺乏针对“新型内衬材料”的专门技术标准，导致市场产品质量参差不齐、工程设计无章可循、施工质量难以保障，亟需通过制定本标准来填补这一关键空白，引导和规范行业健康有序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杭州市会展新城开发建设有限公司等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bookmarkStart w:id="55" w:name="_GoBack"/>
      <w:bookmarkEnd w:id="55"/>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杭州市会展新城开发建设有限公司等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给排水管道非开挖修复相关的国家标准、行业标准及团体标准，调研行业内管道病害现状、修复技术应用情况、新型内衬材料性能及工程实践。通过实地考察、问卷调查及专家咨询，分析当前非开挖修复技术在材料选择、设计计算、施工质量控制及验收评估中的技术难点与管理痛点，形成详细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工程给排水管道新型内衬材料非开挖修复技术规范》的编制范围、核心技术内容及预期目标，包括材料性能要求、结构设计方法、施工工艺、质量控制与验收标准等方面的技术要求。编制立项申请及相关材料，提交至团体标准管理机构，经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组建标准起草工作组，成员包括管道运营单位、工程设计院、材料供应商、施工企业、检测机构及行业协会等单位的专家。结合调研成果与工程实践，按照GB/T 1.1《标准化工作导则》要求搭建标准框架，细化各章节技术指标与操作规范，包括术语定义、材料性能、设计、施工、检验与验收等内容。完成标准草案初稿后，组织内部研讨并进行修改完善。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通过行业协会、线上平台等渠道，向给排水管网管理、设计、施工、监理、材料生产及相关科研院所等单位及专家广泛征求意见。梳理汇总反馈建议，对草案进行修改完善，形成征求意见稿。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中规定的各项关键技术指标和工艺参数均建立在充分的试验验证和工程实践基础之上。例如，对树脂基复合材料内衬管提出的巴柯尔硬度不低于40、弯曲强度不低于70MPa等力学性能要求，以及对聚乙烯类材料提出的耐慢速裂纹增长和耐环境应力开裂的严苛测试时限，均是通过对多种主流品牌和型号的内衬材料进行大量实验室测试与现场取样验证后确定的科学阈值。同样，施工工艺中关于CIPP固化温度曲线的控制范围、穿插法最大牵引力不得超过管材屈服强度50%等核心规定，也是在总结了众多成功与失败案例的基础上，为确保施工质量与安全而提炼出的关键控制点。这些经过实践反复验证的技术条款，为本标准的可靠性与适用性提供了坚实支撑。</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标准的编制全面梳理并融合了国内外非开挖技术领域的先进成果与规范要求。紧密结合了国内近年来在市政管网修复中积累的大量工程经验与研究成果。标准内容系统性地覆盖了从前期调查、材料选择、结构设计、精细化施工到严格验收的全过程，特别是针对高分子复合材料、聚烯烃等“新型内衬材料”的特性，补充和细化了现行国标、行标中的空白与不足，形成了兼具技术前瞻性与国内工程适用性的综合性技术规范，为规范市场和指导实践提供了权威依据。</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所倡导的技术路径充分体现了其经济合理性。虽然新型内衬材料的初始采购成本可能高于传统材料，且非开挖修复的单项施工单价有时高于开挖换管，但通过全生命周期成本分析可知，其综合经济效益显著。非开挖技术避免了巨额的道路开挖补偿费、交通导改费及环境恢复费用，同时极大缩短了工期，减少了对商户经营和市民出行的干扰了带来的间接经济损失。标准中要求的设计使用年限不低于50年，也意味着一次修复可长期受益，大幅降低了管道的全生命周期维护成本，使得采用本标准的技术方案具有良好的投资回报率。</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推广应用将直接和间接地创造巨大的经济效益。直接效益体现在为材料生产商、施工企业和检测机构提供了一个明确、统一的市场准入门槛和技术竞争平台，有助于引导资金投向高质量的产品与技术研发，形成健康的内需市场。对于管道权属单位（如水务公司、市政部门），采用本标准进行修复能显著延长管道使用寿命，降低爆管漏损风险，从而减少因漏水造成的直接水损和能耗损失，同时因施工周期短而对沿线商业活动的影响降至最低，保障了区域经济的正常运转，这些都将转化为可观的社会经济价值。</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社会价值与绿色理念尤为突出。社会效益上，非开挖修复技术最大限度地避免了对城市交通的“开膛破肚”，有效缓解了施工造成的交通拥堵，保障了市民出行的便捷与安全，提升了公众对城市管理工作的满意度，是构建和谐宜居城市的重要技术手段。生态效益上，该技术极大地减少了对原有绿地、植被和土壤的破坏，保护了生态环境；同时，它避免了大规模土方开挖和建筑垃圾的产生，符合资源节约和环境保护的国策。此外，修复后的管道能有效防止地下水渗入和污水外渗，对于保护水资源、防治土壤污染也具有积极的深远影响，是推动城市基础设施建设走向绿色、可持续发展轨道的关键一环。</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17233334"/>
      <w:bookmarkStart w:id="38" w:name="_Toc24884219"/>
      <w:bookmarkStart w:id="39" w:name="_Toc17233326"/>
      <w:r>
        <w:rPr>
          <w:rFonts w:hint="eastAsia" w:ascii="仿宋" w:hAnsi="仿宋" w:eastAsia="仿宋" w:cs="仿宋"/>
          <w:sz w:val="21"/>
          <w:szCs w:val="21"/>
          <w:lang w:val="en-US" w:eastAsia="zh-CN"/>
        </w:rPr>
        <w:t>本章明确了本标准的适用对象和内容边界，规定了采用新型内衬材料对城镇给排水管道进行非开挖修复时，在设计、材料、施工、质量控制与验收以及安全环保等方面应遵循的技术要求，为整个修复工程提供了总体的应用框架。</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772"/>
      <w:bookmarkStart w:id="41" w:name="_Toc97192965"/>
      <w:bookmarkStart w:id="42" w:name="_Toc26986531"/>
      <w:bookmarkStart w:id="43" w:name="_Toc11915"/>
      <w:bookmarkStart w:id="44" w:name="_Toc113282591"/>
      <w:bookmarkStart w:id="45" w:name="_Toc267189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GB 5749 生活饮用水卫生标准</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对“新型内衬材料”、“非开挖修复”、“原位固化法”、“螺旋缠绕法”等核心概念进行了统一和明确的界定，确保标准在使用过程中，各方对关键技术和材料有共同且准确的理解。</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确立了非开挖修复工程需遵循的通用性原则，强调修复前必须进行详尽的调查评估，要求根据实际情况综合选择修复方案，并明确规定修复后管道的设计使用年限、水力性能及涉及饮用水的卫生安全等基本目标。</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前期调查与检测</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详细规定了工程实施前必须完成的资料收集、现场检测（如CCTV检测）与可行性判定工作，旨在全面掌握管道现状与周边环境，为后续的方案设计提供科学依据，确保修复的可行性与安全性。</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材料</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对修复工程中使用的各种新型内衬材料（如树脂基复合材料、聚烯烃类材料、水泥基复合材料）的性能指标、卫生环保要求以及现场检验与储存方法作出了具体规定，从源头保障修复工程的质量与安全。</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设计</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涵盖了修复工程的核心设计内容，包括水力计算以恢复或提升过流能力、结构设计以确保管道长期稳定承载，以及细部设计（如检查井连接、支管开口）和设计文件深度要求，为工程施工提供全面的技术指导。</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8.施工</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系统规定了从施工准备、管道预处理到各种具体内衬安装工艺（如原位固化法、螺旋缠绕法等）的全过程施工技术要求，并强调了支管连接方法和关键施工参数的监测记录，确保施工操作的规范性与质量可控。</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质量控制与验收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修复工程的质量管理流程，包括施工过程中的质量控制、修复完成后的成品检验与性能验证试验（如硬度测试、水压试验），并规定了工程竣工验收所需具备的完整资料清单，是确保工程最终质量的闭环管理环节。</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4092</Words>
  <Characters>4165</Characters>
  <Lines>17</Lines>
  <Paragraphs>4</Paragraphs>
  <TotalTime>0</TotalTime>
  <ScaleCrop>false</ScaleCrop>
  <LinksUpToDate>false</LinksUpToDate>
  <CharactersWithSpaces>4168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2025-10-31T05:08:17Z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AD7A968F0450495BBC580343C84C9528_13</vt:lpwstr>
  </property>
  <property fmtid="{D5CDD505-2E9C-101B-9397-08002B2CF9AE}" pid="4" name="KSOTemplateDocerSaveRecord">
    <vt:lpwstr>eyJoZGlkIjoiMzEwNTM5NzYwMDRjMzkwZTVkZjY2ODkwMGIxNGU0OTUiLCJ1c2VySWQiOiI1OTM0Mzk3OTEifQ==</vt:lpwstr>
  </property>
</Properties>
</file>