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ED63">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43D6E1AE">
      <w:pPr>
        <w:adjustRightInd/>
        <w:spacing w:line="240" w:lineRule="auto"/>
        <w:jc w:val="left"/>
        <w:rPr>
          <w:rFonts w:hint="eastAsia" w:ascii="黑体" w:hAnsi="黑体" w:eastAsia="黑体" w:cs="黑体"/>
          <w:szCs w:val="22"/>
        </w:rPr>
      </w:pPr>
    </w:p>
    <w:p w14:paraId="259CADA6">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93.080.01</w:t>
      </w:r>
      <w:r>
        <w:rPr>
          <w:rFonts w:hint="eastAsia" w:ascii="黑体" w:hAnsi="黑体" w:eastAsia="黑体" w:cs="黑体"/>
          <w:color w:val="FF0000"/>
          <w:szCs w:val="22"/>
        </w:rPr>
        <w:t xml:space="preserve">       </w:t>
      </w:r>
    </w:p>
    <w:p w14:paraId="06BE8031">
      <w:pPr>
        <w:adjustRightInd/>
        <w:spacing w:line="240" w:lineRule="auto"/>
        <w:rPr>
          <w:rFonts w:hint="eastAsia" w:ascii="黑体" w:hAnsi="黑体" w:eastAsia="黑体" w:cs="黑体"/>
          <w:szCs w:val="22"/>
        </w:rPr>
      </w:pPr>
      <w:r>
        <w:rPr>
          <w:rFonts w:hint="eastAsia" w:ascii="黑体" w:hAnsi="黑体" w:eastAsia="黑体" w:cs="黑体"/>
          <w:szCs w:val="22"/>
        </w:rPr>
        <w:t>CCS  P 51</w:t>
      </w:r>
    </w:p>
    <w:p w14:paraId="554884D5">
      <w:pPr>
        <w:adjustRightInd/>
        <w:spacing w:line="240" w:lineRule="auto"/>
        <w:rPr>
          <w:rFonts w:hint="eastAsia" w:ascii="黑体" w:hAnsi="黑体" w:eastAsia="黑体" w:cs="黑体"/>
          <w:szCs w:val="22"/>
        </w:rPr>
      </w:pPr>
    </w:p>
    <w:p w14:paraId="5A1CBF96">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1BEEC007">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XXX—2025</w:t>
      </w:r>
    </w:p>
    <w:p w14:paraId="31497A8D">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6AEF3AED">
      <w:pPr>
        <w:spacing w:line="360" w:lineRule="auto"/>
        <w:rPr>
          <w:rFonts w:ascii="Times New Roman" w:hAnsi="Times New Roman"/>
          <w:szCs w:val="22"/>
        </w:rPr>
      </w:pPr>
    </w:p>
    <w:p w14:paraId="76B48FC7">
      <w:pPr>
        <w:spacing w:line="360" w:lineRule="auto"/>
        <w:rPr>
          <w:rFonts w:ascii="Times New Roman" w:hAnsi="Times New Roman"/>
          <w:szCs w:val="22"/>
        </w:rPr>
      </w:pPr>
    </w:p>
    <w:p w14:paraId="07FCC4E6">
      <w:pPr>
        <w:spacing w:line="360" w:lineRule="auto"/>
        <w:jc w:val="center"/>
        <w:rPr>
          <w:rFonts w:ascii="Times New Roman" w:hAnsi="Times New Roman" w:eastAsia="黑体"/>
          <w:sz w:val="52"/>
          <w:szCs w:val="52"/>
        </w:rPr>
      </w:pPr>
    </w:p>
    <w:p w14:paraId="071A6BEC">
      <w:pPr>
        <w:spacing w:line="360" w:lineRule="auto"/>
        <w:jc w:val="center"/>
        <w:rPr>
          <w:rFonts w:ascii="Times New Roman" w:hAnsi="Times New Roman" w:eastAsia="黑体"/>
          <w:sz w:val="52"/>
          <w:szCs w:val="52"/>
        </w:rPr>
      </w:pPr>
    </w:p>
    <w:p w14:paraId="3C57E5FD">
      <w:pPr>
        <w:spacing w:line="360" w:lineRule="auto"/>
        <w:jc w:val="center"/>
        <w:rPr>
          <w:rFonts w:ascii="Times New Roman" w:hAnsi="Times New Roman" w:eastAsia="黑体"/>
          <w:sz w:val="28"/>
          <w:szCs w:val="28"/>
        </w:rPr>
      </w:pPr>
      <w:r>
        <w:rPr>
          <w:rFonts w:hint="eastAsia" w:ascii="Times New Roman" w:hAnsi="Times New Roman" w:eastAsia="黑体"/>
          <w:sz w:val="52"/>
          <w:szCs w:val="52"/>
        </w:rPr>
        <w:t>道路市政工程绿色低碳路面设计规范</w:t>
      </w:r>
      <w:r>
        <w:rPr>
          <w:rFonts w:ascii="Times New Roman" w:hAnsi="Times New Roman" w:eastAsia="黑体"/>
          <w:sz w:val="28"/>
          <w:szCs w:val="28"/>
        </w:rPr>
        <w:t>Technical Specification for Green and Low-Carbon Pavement Design in Road Municipal Engineering</w:t>
      </w:r>
    </w:p>
    <w:p w14:paraId="2228CFB3">
      <w:pPr>
        <w:spacing w:line="360" w:lineRule="auto"/>
        <w:jc w:val="center"/>
        <w:rPr>
          <w:rFonts w:hint="eastAsia" w:ascii="黑体" w:hAnsi="黑体" w:eastAsia="黑体" w:cs="黑体"/>
          <w:sz w:val="44"/>
          <w:szCs w:val="48"/>
        </w:rPr>
      </w:pPr>
      <w:r>
        <w:rPr>
          <w:rFonts w:hint="eastAsia" w:ascii="黑体" w:hAnsi="黑体" w:eastAsia="黑体" w:cs="黑体"/>
          <w:sz w:val="44"/>
          <w:szCs w:val="48"/>
        </w:rPr>
        <w:t>（设计草案）</w:t>
      </w:r>
    </w:p>
    <w:p w14:paraId="12B4C366">
      <w:pPr>
        <w:spacing w:line="360" w:lineRule="auto"/>
        <w:rPr>
          <w:rFonts w:ascii="Times New Roman" w:hAnsi="Times New Roman"/>
          <w:szCs w:val="22"/>
        </w:rPr>
      </w:pPr>
    </w:p>
    <w:p w14:paraId="3BB8CA77">
      <w:pPr>
        <w:spacing w:line="360" w:lineRule="auto"/>
        <w:rPr>
          <w:rFonts w:ascii="Times New Roman" w:hAnsi="Times New Roman"/>
          <w:szCs w:val="22"/>
        </w:rPr>
      </w:pPr>
    </w:p>
    <w:p w14:paraId="3B3C09BA">
      <w:pPr>
        <w:spacing w:line="360" w:lineRule="auto"/>
        <w:rPr>
          <w:rFonts w:ascii="Times New Roman" w:hAnsi="Times New Roman"/>
          <w:szCs w:val="22"/>
        </w:rPr>
      </w:pPr>
    </w:p>
    <w:p w14:paraId="094DFDE3">
      <w:pPr>
        <w:spacing w:line="360" w:lineRule="auto"/>
        <w:rPr>
          <w:rFonts w:ascii="Times New Roman" w:hAnsi="Times New Roman"/>
          <w:szCs w:val="22"/>
        </w:rPr>
      </w:pPr>
    </w:p>
    <w:p w14:paraId="48CC5FF2">
      <w:pPr>
        <w:spacing w:line="360" w:lineRule="auto"/>
        <w:rPr>
          <w:rFonts w:ascii="Times New Roman" w:hAnsi="Times New Roman"/>
          <w:szCs w:val="22"/>
        </w:rPr>
      </w:pPr>
    </w:p>
    <w:p w14:paraId="3C43FE06">
      <w:pPr>
        <w:spacing w:line="360" w:lineRule="auto"/>
        <w:rPr>
          <w:rFonts w:hint="eastAsia" w:ascii="Times New Roman" w:hAnsi="Times New Roman"/>
          <w:szCs w:val="22"/>
        </w:rPr>
      </w:pPr>
    </w:p>
    <w:p w14:paraId="45975DD6">
      <w:pPr>
        <w:spacing w:line="360" w:lineRule="auto"/>
        <w:jc w:val="left"/>
        <w:rPr>
          <w:rFonts w:ascii="Times New Roman" w:hAnsi="Times New Roman" w:eastAsia="黑体"/>
          <w:sz w:val="28"/>
          <w:szCs w:val="28"/>
        </w:rPr>
      </w:pPr>
    </w:p>
    <w:p w14:paraId="5AF7C3DE">
      <w:pPr>
        <w:spacing w:line="360" w:lineRule="auto"/>
        <w:jc w:val="left"/>
        <w:rPr>
          <w:rFonts w:ascii="Times New Roman" w:hAnsi="Times New Roman" w:eastAsia="黑体"/>
          <w:sz w:val="28"/>
          <w:szCs w:val="28"/>
        </w:rPr>
      </w:pPr>
    </w:p>
    <w:p w14:paraId="6E21EF6A">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2025-X-XX发布                                  2025-X-XX实施</w:t>
      </w:r>
    </w:p>
    <w:p w14:paraId="26EAB88F">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6EB667A0">
      <w:pPr>
        <w:pStyle w:val="94"/>
        <w:spacing w:after="360"/>
        <w:rPr>
          <w:rFonts w:hint="eastAsia"/>
        </w:rPr>
      </w:pPr>
      <w:bookmarkStart w:id="0" w:name="BookMark1"/>
      <w:bookmarkStart w:id="1" w:name="_Toc12379"/>
      <w:bookmarkStart w:id="2" w:name="_Toc212402510"/>
      <w:bookmarkStart w:id="3" w:name="_Toc212233054"/>
      <w:bookmarkStart w:id="4" w:name="_Toc3964"/>
      <w:r>
        <w:rPr>
          <w:rFonts w:hint="eastAsia"/>
          <w:spacing w:val="320"/>
        </w:rPr>
        <w:t>目</w:t>
      </w:r>
      <w:r>
        <w:rPr>
          <w:rFonts w:hint="eastAsia"/>
        </w:rPr>
        <w:t>次</w:t>
      </w:r>
    </w:p>
    <w:p w14:paraId="4AAF455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"_Toc212403197"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_Toc212403197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634C8B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"_Toc212403199"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_Toc212403199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20415E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"_Toc212403200"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_Toc212403200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1CA06F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"_Toc212403201"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_Toc212403201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E79A10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"_Toc212403202" </w:instrText>
      </w:r>
      <w:r>
        <w:fldChar w:fldCharType="separate"/>
      </w:r>
      <w:r>
        <w:rPr>
          <w:rStyle w:val="35"/>
          <w:rFonts w:hint="eastAsia"/>
        </w:rPr>
        <w:t>4</w:t>
      </w:r>
      <w:r>
        <w:rPr>
          <w:rStyle w:val="35"/>
        </w:rPr>
        <w:t xml:space="preserve"> </w:t>
      </w:r>
      <w:r>
        <w:rPr>
          <w:rStyle w:val="35"/>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_Toc212403202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B23299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"_Toc212403203" </w:instrText>
      </w:r>
      <w:r>
        <w:fldChar w:fldCharType="separate"/>
      </w:r>
      <w:r>
        <w:rPr>
          <w:rStyle w:val="35"/>
          <w:rFonts w:hint="eastAsia"/>
        </w:rPr>
        <w:t>5</w:t>
      </w:r>
      <w:r>
        <w:rPr>
          <w:rStyle w:val="35"/>
        </w:rPr>
        <w:t xml:space="preserve"> </w:t>
      </w:r>
      <w:r>
        <w:rPr>
          <w:rStyle w:val="35"/>
          <w:rFonts w:hint="eastAsia"/>
        </w:rPr>
        <w:t xml:space="preserve"> 材料选择</w:t>
      </w:r>
      <w:r>
        <w:rPr>
          <w:rFonts w:hint="eastAsia"/>
        </w:rPr>
        <w:tab/>
      </w:r>
      <w:r>
        <w:rPr>
          <w:rFonts w:hint="eastAsia"/>
        </w:rPr>
        <w:fldChar w:fldCharType="begin"/>
      </w:r>
      <w:r>
        <w:rPr>
          <w:rFonts w:hint="eastAsia"/>
        </w:rPr>
        <w:instrText xml:space="preserve"> </w:instrText>
      </w:r>
      <w:r>
        <w:instrText xml:space="preserve">PAGEREF _Toc212403203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F003BF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"_Toc212403204" </w:instrText>
      </w:r>
      <w:r>
        <w:fldChar w:fldCharType="separate"/>
      </w:r>
      <w:r>
        <w:rPr>
          <w:rStyle w:val="35"/>
          <w:rFonts w:hint="eastAsia"/>
          <w14:scene3d w14:prst="orthographicFront">
            <w14:lightRig w14:rig="threePt" w14:dir="t">
              <w14:rot w14:lat="0" w14:lon="0" w14:rev="0"/>
            </w14:lightRig>
          </w14:scene3d>
        </w:rPr>
        <w:t>5.1</w:t>
      </w:r>
      <w:r>
        <w:rPr>
          <w:rStyle w:val="35"/>
          <w14:scene3d w14:prst="orthographicFront">
            <w14:lightRig w14:rig="threePt" w14:dir="t">
              <w14:rot w14:lat="0" w14:lon="0" w14:rev="0"/>
            </w14:lightRig>
          </w14:scene3d>
        </w:rPr>
        <w:t xml:space="preserve"> </w:t>
      </w:r>
      <w:r>
        <w:rPr>
          <w:rStyle w:val="35"/>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_Toc212403204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70A051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"_Toc212403205" </w:instrText>
      </w:r>
      <w:r>
        <w:fldChar w:fldCharType="separate"/>
      </w:r>
      <w:r>
        <w:rPr>
          <w:rStyle w:val="35"/>
          <w:rFonts w:hint="eastAsia"/>
          <w14:scene3d w14:prst="orthographicFront">
            <w14:lightRig w14:rig="threePt" w14:dir="t">
              <w14:rot w14:lat="0" w14:lon="0" w14:rev="0"/>
            </w14:lightRig>
          </w14:scene3d>
        </w:rPr>
        <w:t>5.2</w:t>
      </w:r>
      <w:r>
        <w:rPr>
          <w:rStyle w:val="35"/>
          <w14:scene3d w14:prst="orthographicFront">
            <w14:lightRig w14:rig="threePt" w14:dir="t">
              <w14:rot w14:lat="0" w14:lon="0" w14:rev="0"/>
            </w14:lightRig>
          </w14:scene3d>
        </w:rPr>
        <w:t xml:space="preserve"> </w:t>
      </w:r>
      <w:r>
        <w:rPr>
          <w:rStyle w:val="35"/>
          <w:rFonts w:hint="eastAsia"/>
        </w:rPr>
        <w:t xml:space="preserve"> 再生材料应用</w:t>
      </w:r>
      <w:r>
        <w:rPr>
          <w:rFonts w:hint="eastAsia"/>
        </w:rPr>
        <w:tab/>
      </w:r>
      <w:r>
        <w:rPr>
          <w:rFonts w:hint="eastAsia"/>
        </w:rPr>
        <w:fldChar w:fldCharType="begin"/>
      </w:r>
      <w:r>
        <w:rPr>
          <w:rFonts w:hint="eastAsia"/>
        </w:rPr>
        <w:instrText xml:space="preserve"> </w:instrText>
      </w:r>
      <w:r>
        <w:instrText xml:space="preserve">PAGEREF _Toc212403205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673302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"_Toc212403206" </w:instrText>
      </w:r>
      <w:r>
        <w:fldChar w:fldCharType="separate"/>
      </w:r>
      <w:r>
        <w:rPr>
          <w:rStyle w:val="35"/>
          <w:rFonts w:hint="eastAsia"/>
          <w14:scene3d w14:prst="orthographicFront">
            <w14:lightRig w14:rig="threePt" w14:dir="t">
              <w14:rot w14:lat="0" w14:lon="0" w14:rev="0"/>
            </w14:lightRig>
          </w14:scene3d>
        </w:rPr>
        <w:t>5.3</w:t>
      </w:r>
      <w:r>
        <w:rPr>
          <w:rStyle w:val="35"/>
          <w14:scene3d w14:prst="orthographicFront">
            <w14:lightRig w14:rig="threePt" w14:dir="t">
              <w14:rot w14:lat="0" w14:lon="0" w14:rev="0"/>
            </w14:lightRig>
          </w14:scene3d>
        </w:rPr>
        <w:t xml:space="preserve"> </w:t>
      </w:r>
      <w:r>
        <w:rPr>
          <w:rStyle w:val="35"/>
          <w:rFonts w:hint="eastAsia"/>
        </w:rPr>
        <w:t xml:space="preserve"> 低碳胶结料</w:t>
      </w:r>
      <w:r>
        <w:rPr>
          <w:rFonts w:hint="eastAsia"/>
        </w:rPr>
        <w:tab/>
      </w:r>
      <w:r>
        <w:rPr>
          <w:rFonts w:hint="eastAsia"/>
        </w:rPr>
        <w:fldChar w:fldCharType="begin"/>
      </w:r>
      <w:r>
        <w:rPr>
          <w:rFonts w:hint="eastAsia"/>
        </w:rPr>
        <w:instrText xml:space="preserve"> </w:instrText>
      </w:r>
      <w:r>
        <w:instrText xml:space="preserve">PAGEREF _Toc212403206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C0C3E3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"_Toc212403207" </w:instrText>
      </w:r>
      <w:r>
        <w:fldChar w:fldCharType="separate"/>
      </w:r>
      <w:r>
        <w:rPr>
          <w:rStyle w:val="35"/>
          <w:rFonts w:hint="eastAsia"/>
          <w14:scene3d w14:prst="orthographicFront">
            <w14:lightRig w14:rig="threePt" w14:dir="t">
              <w14:rot w14:lat="0" w14:lon="0" w14:rev="0"/>
            </w14:lightRig>
          </w14:scene3d>
        </w:rPr>
        <w:t>5.4</w:t>
      </w:r>
      <w:r>
        <w:rPr>
          <w:rStyle w:val="35"/>
          <w14:scene3d w14:prst="orthographicFront">
            <w14:lightRig w14:rig="threePt" w14:dir="t">
              <w14:rot w14:lat="0" w14:lon="0" w14:rev="0"/>
            </w14:lightRig>
          </w14:scene3d>
        </w:rPr>
        <w:t xml:space="preserve"> </w:t>
      </w:r>
      <w:r>
        <w:rPr>
          <w:rStyle w:val="35"/>
          <w:rFonts w:hint="eastAsia"/>
        </w:rPr>
        <w:t xml:space="preserve"> 新型低碳材料</w:t>
      </w:r>
      <w:r>
        <w:rPr>
          <w:rFonts w:hint="eastAsia"/>
        </w:rPr>
        <w:tab/>
      </w:r>
      <w:r>
        <w:rPr>
          <w:rFonts w:hint="eastAsia"/>
        </w:rPr>
        <w:fldChar w:fldCharType="begin"/>
      </w:r>
      <w:r>
        <w:rPr>
          <w:rFonts w:hint="eastAsia"/>
        </w:rPr>
        <w:instrText xml:space="preserve"> </w:instrText>
      </w:r>
      <w:r>
        <w:instrText xml:space="preserve">PAGEREF _Toc212403207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CBB6DD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"_Toc212403208" </w:instrText>
      </w:r>
      <w:r>
        <w:fldChar w:fldCharType="separate"/>
      </w:r>
      <w:r>
        <w:rPr>
          <w:rStyle w:val="35"/>
          <w:rFonts w:hint="eastAsia"/>
        </w:rPr>
        <w:t>6</w:t>
      </w:r>
      <w:r>
        <w:rPr>
          <w:rStyle w:val="35"/>
        </w:rPr>
        <w:t xml:space="preserve"> </w:t>
      </w:r>
      <w:r>
        <w:rPr>
          <w:rStyle w:val="35"/>
          <w:rFonts w:hint="eastAsia"/>
        </w:rPr>
        <w:t xml:space="preserve"> 路面结构设计</w:t>
      </w:r>
      <w:r>
        <w:rPr>
          <w:rFonts w:hint="eastAsia"/>
        </w:rPr>
        <w:tab/>
      </w:r>
      <w:r>
        <w:rPr>
          <w:rFonts w:hint="eastAsia"/>
        </w:rPr>
        <w:fldChar w:fldCharType="begin"/>
      </w:r>
      <w:r>
        <w:rPr>
          <w:rFonts w:hint="eastAsia"/>
        </w:rPr>
        <w:instrText xml:space="preserve"> </w:instrText>
      </w:r>
      <w:r>
        <w:instrText xml:space="preserve">PAGEREF _Toc212403208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D72A5B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"_Toc212403209" </w:instrText>
      </w:r>
      <w:r>
        <w:fldChar w:fldCharType="separate"/>
      </w:r>
      <w:r>
        <w:rPr>
          <w:rStyle w:val="35"/>
          <w:rFonts w:hint="eastAsia"/>
          <w14:scene3d w14:prst="orthographicFront">
            <w14:lightRig w14:rig="threePt" w14:dir="t">
              <w14:rot w14:lat="0" w14:lon="0" w14:rev="0"/>
            </w14:lightRig>
          </w14:scene3d>
        </w:rPr>
        <w:t>6.1</w:t>
      </w:r>
      <w:r>
        <w:rPr>
          <w:rStyle w:val="35"/>
          <w14:scene3d w14:prst="orthographicFront">
            <w14:lightRig w14:rig="threePt" w14:dir="t">
              <w14:rot w14:lat="0" w14:lon="0" w14:rev="0"/>
            </w14:lightRig>
          </w14:scene3d>
        </w:rPr>
        <w:t xml:space="preserve"> </w:t>
      </w:r>
      <w:r>
        <w:rPr>
          <w:rStyle w:val="35"/>
          <w:rFonts w:hint="eastAsia"/>
        </w:rPr>
        <w:t xml:space="preserve"> 设计原则</w:t>
      </w:r>
      <w:r>
        <w:rPr>
          <w:rFonts w:hint="eastAsia"/>
        </w:rPr>
        <w:tab/>
      </w:r>
      <w:r>
        <w:rPr>
          <w:rFonts w:hint="eastAsia"/>
        </w:rPr>
        <w:fldChar w:fldCharType="begin"/>
      </w:r>
      <w:r>
        <w:rPr>
          <w:rFonts w:hint="eastAsia"/>
        </w:rPr>
        <w:instrText xml:space="preserve"> </w:instrText>
      </w:r>
      <w:r>
        <w:instrText xml:space="preserve">PAGEREF _Toc212403209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24CC6B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"_Toc212403210" </w:instrText>
      </w:r>
      <w:r>
        <w:fldChar w:fldCharType="separate"/>
      </w:r>
      <w:r>
        <w:rPr>
          <w:rStyle w:val="35"/>
          <w:rFonts w:hint="eastAsia"/>
          <w14:scene3d w14:prst="orthographicFront">
            <w14:lightRig w14:rig="threePt" w14:dir="t">
              <w14:rot w14:lat="0" w14:lon="0" w14:rev="0"/>
            </w14:lightRig>
          </w14:scene3d>
        </w:rPr>
        <w:t>6.2</w:t>
      </w:r>
      <w:r>
        <w:rPr>
          <w:rStyle w:val="35"/>
          <w14:scene3d w14:prst="orthographicFront">
            <w14:lightRig w14:rig="threePt" w14:dir="t">
              <w14:rot w14:lat="0" w14:lon="0" w14:rev="0"/>
            </w14:lightRig>
          </w14:scene3d>
        </w:rPr>
        <w:t xml:space="preserve"> </w:t>
      </w:r>
      <w:r>
        <w:rPr>
          <w:rStyle w:val="35"/>
          <w:rFonts w:hint="eastAsia"/>
        </w:rPr>
        <w:t xml:space="preserve"> 典型绿色低碳路面结构</w:t>
      </w:r>
      <w:r>
        <w:rPr>
          <w:rFonts w:hint="eastAsia"/>
        </w:rPr>
        <w:tab/>
      </w:r>
      <w:r>
        <w:rPr>
          <w:rFonts w:hint="eastAsia"/>
        </w:rPr>
        <w:fldChar w:fldCharType="begin"/>
      </w:r>
      <w:r>
        <w:rPr>
          <w:rFonts w:hint="eastAsia"/>
        </w:rPr>
        <w:instrText xml:space="preserve"> </w:instrText>
      </w:r>
      <w:r>
        <w:instrText xml:space="preserve">PAGEREF _Toc212403210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670DEE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"_Toc212403211" </w:instrText>
      </w:r>
      <w:r>
        <w:fldChar w:fldCharType="separate"/>
      </w:r>
      <w:r>
        <w:rPr>
          <w:rStyle w:val="35"/>
          <w:rFonts w:hint="eastAsia"/>
          <w14:scene3d w14:prst="orthographicFront">
            <w14:lightRig w14:rig="threePt" w14:dir="t">
              <w14:rot w14:lat="0" w14:lon="0" w14:rev="0"/>
            </w14:lightRig>
          </w14:scene3d>
        </w:rPr>
        <w:t>6.3</w:t>
      </w:r>
      <w:r>
        <w:rPr>
          <w:rStyle w:val="35"/>
          <w14:scene3d w14:prst="orthographicFront">
            <w14:lightRig w14:rig="threePt" w14:dir="t">
              <w14:rot w14:lat="0" w14:lon="0" w14:rev="0"/>
            </w14:lightRig>
          </w14:scene3d>
        </w:rPr>
        <w:t xml:space="preserve"> </w:t>
      </w:r>
      <w:r>
        <w:rPr>
          <w:rStyle w:val="35"/>
          <w:rFonts w:hint="eastAsia"/>
        </w:rPr>
        <w:t xml:space="preserve"> 长寿命路面结构设计</w:t>
      </w:r>
      <w:r>
        <w:rPr>
          <w:rFonts w:hint="eastAsia"/>
        </w:rPr>
        <w:tab/>
      </w:r>
      <w:r>
        <w:rPr>
          <w:rFonts w:hint="eastAsia"/>
        </w:rPr>
        <w:fldChar w:fldCharType="begin"/>
      </w:r>
      <w:r>
        <w:rPr>
          <w:rFonts w:hint="eastAsia"/>
        </w:rPr>
        <w:instrText xml:space="preserve"> </w:instrText>
      </w:r>
      <w:r>
        <w:instrText xml:space="preserve">PAGEREF _Toc212403211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32538F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"_Toc212403212" </w:instrText>
      </w:r>
      <w:r>
        <w:fldChar w:fldCharType="separate"/>
      </w:r>
      <w:r>
        <w:rPr>
          <w:rStyle w:val="35"/>
          <w:rFonts w:hint="eastAsia"/>
        </w:rPr>
        <w:t>7</w:t>
      </w:r>
      <w:r>
        <w:rPr>
          <w:rStyle w:val="35"/>
        </w:rPr>
        <w:t xml:space="preserve"> </w:t>
      </w:r>
      <w:r>
        <w:rPr>
          <w:rStyle w:val="35"/>
          <w:rFonts w:hint="eastAsia"/>
        </w:rPr>
        <w:t xml:space="preserve"> 功能层设计与施工工艺质量控制</w:t>
      </w:r>
      <w:r>
        <w:rPr>
          <w:rFonts w:hint="eastAsia"/>
        </w:rPr>
        <w:tab/>
      </w:r>
      <w:r>
        <w:rPr>
          <w:rFonts w:hint="eastAsia"/>
        </w:rPr>
        <w:fldChar w:fldCharType="begin"/>
      </w:r>
      <w:r>
        <w:rPr>
          <w:rFonts w:hint="eastAsia"/>
        </w:rPr>
        <w:instrText xml:space="preserve"> </w:instrText>
      </w:r>
      <w:r>
        <w:instrText xml:space="preserve">PAGEREF _Toc212403212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608044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"_Toc212403213" </w:instrText>
      </w:r>
      <w:r>
        <w:fldChar w:fldCharType="separate"/>
      </w:r>
      <w:r>
        <w:rPr>
          <w:rStyle w:val="35"/>
          <w:rFonts w:hint="eastAsia"/>
          <w14:scene3d w14:prst="orthographicFront">
            <w14:lightRig w14:rig="threePt" w14:dir="t">
              <w14:rot w14:lat="0" w14:lon="0" w14:rev="0"/>
            </w14:lightRig>
          </w14:scene3d>
        </w:rPr>
        <w:t>7.1</w:t>
      </w:r>
      <w:r>
        <w:rPr>
          <w:rStyle w:val="35"/>
          <w14:scene3d w14:prst="orthographicFront">
            <w14:lightRig w14:rig="threePt" w14:dir="t">
              <w14:rot w14:lat="0" w14:lon="0" w14:rev="0"/>
            </w14:lightRig>
          </w14:scene3d>
        </w:rPr>
        <w:t xml:space="preserve"> </w:t>
      </w:r>
      <w:r>
        <w:rPr>
          <w:rStyle w:val="35"/>
          <w:rFonts w:hint="eastAsia"/>
        </w:rPr>
        <w:t xml:space="preserve"> 透水路面设计</w:t>
      </w:r>
      <w:r>
        <w:rPr>
          <w:rFonts w:hint="eastAsia"/>
        </w:rPr>
        <w:tab/>
      </w:r>
      <w:r>
        <w:rPr>
          <w:rFonts w:hint="eastAsia"/>
        </w:rPr>
        <w:fldChar w:fldCharType="begin"/>
      </w:r>
      <w:r>
        <w:rPr>
          <w:rFonts w:hint="eastAsia"/>
        </w:rPr>
        <w:instrText xml:space="preserve"> </w:instrText>
      </w:r>
      <w:r>
        <w:instrText xml:space="preserve">PAGEREF _Toc212403213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99AEE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"_Toc212403214" </w:instrText>
      </w:r>
      <w:r>
        <w:fldChar w:fldCharType="separate"/>
      </w:r>
      <w:r>
        <w:rPr>
          <w:rStyle w:val="35"/>
          <w:rFonts w:hint="eastAsia"/>
          <w14:scene3d w14:prst="orthographicFront">
            <w14:lightRig w14:rig="threePt" w14:dir="t">
              <w14:rot w14:lat="0" w14:lon="0" w14:rev="0"/>
            </w14:lightRig>
          </w14:scene3d>
        </w:rPr>
        <w:t>7.2</w:t>
      </w:r>
      <w:r>
        <w:rPr>
          <w:rStyle w:val="35"/>
          <w14:scene3d w14:prst="orthographicFront">
            <w14:lightRig w14:rig="threePt" w14:dir="t">
              <w14:rot w14:lat="0" w14:lon="0" w14:rev="0"/>
            </w14:lightRig>
          </w14:scene3d>
        </w:rPr>
        <w:t xml:space="preserve"> </w:t>
      </w:r>
      <w:r>
        <w:rPr>
          <w:rStyle w:val="35"/>
          <w:rFonts w:hint="eastAsia"/>
        </w:rPr>
        <w:t xml:space="preserve"> 降噪路面设计</w:t>
      </w:r>
      <w:r>
        <w:rPr>
          <w:rFonts w:hint="eastAsia"/>
        </w:rPr>
        <w:tab/>
      </w:r>
      <w:r>
        <w:rPr>
          <w:rFonts w:hint="eastAsia"/>
        </w:rPr>
        <w:fldChar w:fldCharType="begin"/>
      </w:r>
      <w:r>
        <w:rPr>
          <w:rFonts w:hint="eastAsia"/>
        </w:rPr>
        <w:instrText xml:space="preserve"> </w:instrText>
      </w:r>
      <w:r>
        <w:instrText xml:space="preserve">PAGEREF _Toc212403214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D79ED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"_Toc212403215" </w:instrText>
      </w:r>
      <w:r>
        <w:fldChar w:fldCharType="separate"/>
      </w:r>
      <w:r>
        <w:rPr>
          <w:rStyle w:val="35"/>
          <w:rFonts w:hint="eastAsia"/>
          <w14:scene3d w14:prst="orthographicFront">
            <w14:lightRig w14:rig="threePt" w14:dir="t">
              <w14:rot w14:lat="0" w14:lon="0" w14:rev="0"/>
            </w14:lightRig>
          </w14:scene3d>
        </w:rPr>
        <w:t>7.3</w:t>
      </w:r>
      <w:r>
        <w:rPr>
          <w:rStyle w:val="35"/>
          <w14:scene3d w14:prst="orthographicFront">
            <w14:lightRig w14:rig="threePt" w14:dir="t">
              <w14:rot w14:lat="0" w14:lon="0" w14:rev="0"/>
            </w14:lightRig>
          </w14:scene3d>
        </w:rPr>
        <w:t xml:space="preserve"> </w:t>
      </w:r>
      <w:r>
        <w:rPr>
          <w:rStyle w:val="35"/>
          <w:rFonts w:hint="eastAsia"/>
        </w:rPr>
        <w:t xml:space="preserve"> 低碳施工工艺</w:t>
      </w:r>
      <w:r>
        <w:rPr>
          <w:rFonts w:hint="eastAsia"/>
        </w:rPr>
        <w:tab/>
      </w:r>
      <w:r>
        <w:rPr>
          <w:rFonts w:hint="eastAsia"/>
        </w:rPr>
        <w:fldChar w:fldCharType="begin"/>
      </w:r>
      <w:r>
        <w:rPr>
          <w:rFonts w:hint="eastAsia"/>
        </w:rPr>
        <w:instrText xml:space="preserve"> </w:instrText>
      </w:r>
      <w:r>
        <w:instrText xml:space="preserve">PAGEREF _Toc212403215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0F5B6E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"_Toc212403216" </w:instrText>
      </w:r>
      <w:r>
        <w:fldChar w:fldCharType="separate"/>
      </w:r>
      <w:r>
        <w:rPr>
          <w:rStyle w:val="35"/>
          <w:rFonts w:hint="eastAsia"/>
          <w14:scene3d w14:prst="orthographicFront">
            <w14:lightRig w14:rig="threePt" w14:dir="t">
              <w14:rot w14:lat="0" w14:lon="0" w14:rev="0"/>
            </w14:lightRig>
          </w14:scene3d>
        </w:rPr>
        <w:t>7.4</w:t>
      </w:r>
      <w:r>
        <w:rPr>
          <w:rStyle w:val="35"/>
          <w14:scene3d w14:prst="orthographicFront">
            <w14:lightRig w14:rig="threePt" w14:dir="t">
              <w14:rot w14:lat="0" w14:lon="0" w14:rev="0"/>
            </w14:lightRig>
          </w14:scene3d>
        </w:rPr>
        <w:t xml:space="preserve"> </w:t>
      </w:r>
      <w:r>
        <w:rPr>
          <w:rStyle w:val="35"/>
          <w:rFonts w:hint="eastAsia"/>
        </w:rPr>
        <w:t xml:space="preserve"> 施工过程质量控制与碳排放监测</w:t>
      </w:r>
      <w:r>
        <w:rPr>
          <w:rFonts w:hint="eastAsia"/>
        </w:rPr>
        <w:tab/>
      </w:r>
      <w:r>
        <w:rPr>
          <w:rFonts w:hint="eastAsia"/>
        </w:rPr>
        <w:fldChar w:fldCharType="begin"/>
      </w:r>
      <w:r>
        <w:rPr>
          <w:rFonts w:hint="eastAsia"/>
        </w:rPr>
        <w:instrText xml:space="preserve"> </w:instrText>
      </w:r>
      <w:r>
        <w:instrText xml:space="preserve">PAGEREF _Toc212403216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D75E3F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"_Toc212403217" </w:instrText>
      </w:r>
      <w:r>
        <w:fldChar w:fldCharType="separate"/>
      </w:r>
      <w:r>
        <w:rPr>
          <w:rStyle w:val="35"/>
          <w:rFonts w:hint="eastAsia"/>
        </w:rPr>
        <w:t>8</w:t>
      </w:r>
      <w:r>
        <w:rPr>
          <w:rStyle w:val="35"/>
        </w:rPr>
        <w:t xml:space="preserve"> </w:t>
      </w:r>
      <w:r>
        <w:rPr>
          <w:rStyle w:val="35"/>
          <w:rFonts w:hint="eastAsia"/>
        </w:rPr>
        <w:t xml:space="preserve"> 养护与运营阶段的绿色低碳策略</w:t>
      </w:r>
      <w:r>
        <w:rPr>
          <w:rFonts w:hint="eastAsia"/>
        </w:rPr>
        <w:tab/>
      </w:r>
      <w:r>
        <w:rPr>
          <w:rFonts w:hint="eastAsia"/>
        </w:rPr>
        <w:fldChar w:fldCharType="begin"/>
      </w:r>
      <w:r>
        <w:rPr>
          <w:rFonts w:hint="eastAsia"/>
        </w:rPr>
        <w:instrText xml:space="preserve"> </w:instrText>
      </w:r>
      <w:r>
        <w:instrText xml:space="preserve">PAGEREF _Toc212403217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B6D83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"_Toc212403218" </w:instrText>
      </w:r>
      <w:r>
        <w:fldChar w:fldCharType="separate"/>
      </w:r>
      <w:r>
        <w:rPr>
          <w:rStyle w:val="35"/>
          <w:rFonts w:hint="eastAsia"/>
          <w14:scene3d w14:prst="orthographicFront">
            <w14:lightRig w14:rig="threePt" w14:dir="t">
              <w14:rot w14:lat="0" w14:lon="0" w14:rev="0"/>
            </w14:lightRig>
          </w14:scene3d>
        </w:rPr>
        <w:t>8.1</w:t>
      </w:r>
      <w:r>
        <w:rPr>
          <w:rStyle w:val="35"/>
          <w14:scene3d w14:prst="orthographicFront">
            <w14:lightRig w14:rig="threePt" w14:dir="t">
              <w14:rot w14:lat="0" w14:lon="0" w14:rev="0"/>
            </w14:lightRig>
          </w14:scene3d>
        </w:rPr>
        <w:t xml:space="preserve"> </w:t>
      </w:r>
      <w:r>
        <w:rPr>
          <w:rStyle w:val="35"/>
          <w:rFonts w:hint="eastAsia"/>
        </w:rPr>
        <w:t xml:space="preserve"> 养护决策支持</w:t>
      </w:r>
      <w:r>
        <w:rPr>
          <w:rFonts w:hint="eastAsia"/>
        </w:rPr>
        <w:tab/>
      </w:r>
      <w:r>
        <w:rPr>
          <w:rFonts w:hint="eastAsia"/>
        </w:rPr>
        <w:fldChar w:fldCharType="begin"/>
      </w:r>
      <w:r>
        <w:rPr>
          <w:rFonts w:hint="eastAsia"/>
        </w:rPr>
        <w:instrText xml:space="preserve"> </w:instrText>
      </w:r>
      <w:r>
        <w:instrText xml:space="preserve">PAGEREF _Toc212403218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7908D6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"_Toc212403219" </w:instrText>
      </w:r>
      <w:r>
        <w:fldChar w:fldCharType="separate"/>
      </w:r>
      <w:r>
        <w:rPr>
          <w:rStyle w:val="35"/>
          <w:rFonts w:hint="eastAsia"/>
          <w14:scene3d w14:prst="orthographicFront">
            <w14:lightRig w14:rig="threePt" w14:dir="t">
              <w14:rot w14:lat="0" w14:lon="0" w14:rev="0"/>
            </w14:lightRig>
          </w14:scene3d>
        </w:rPr>
        <w:t>8.2</w:t>
      </w:r>
      <w:r>
        <w:rPr>
          <w:rStyle w:val="35"/>
          <w14:scene3d w14:prst="orthographicFront">
            <w14:lightRig w14:rig="threePt" w14:dir="t">
              <w14:rot w14:lat="0" w14:lon="0" w14:rev="0"/>
            </w14:lightRig>
          </w14:scene3d>
        </w:rPr>
        <w:t xml:space="preserve"> </w:t>
      </w:r>
      <w:r>
        <w:rPr>
          <w:rStyle w:val="35"/>
          <w:rFonts w:hint="eastAsia"/>
        </w:rPr>
        <w:t xml:space="preserve"> 低碳养护技术应用</w:t>
      </w:r>
      <w:r>
        <w:rPr>
          <w:rFonts w:hint="eastAsia"/>
        </w:rPr>
        <w:tab/>
      </w:r>
      <w:r>
        <w:rPr>
          <w:rFonts w:hint="eastAsia"/>
        </w:rPr>
        <w:fldChar w:fldCharType="begin"/>
      </w:r>
      <w:r>
        <w:rPr>
          <w:rFonts w:hint="eastAsia"/>
        </w:rPr>
        <w:instrText xml:space="preserve"> </w:instrText>
      </w:r>
      <w:r>
        <w:instrText xml:space="preserve">PAGEREF _Toc212403219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F8D1B0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"_Toc212403220" </w:instrText>
      </w:r>
      <w:r>
        <w:fldChar w:fldCharType="separate"/>
      </w:r>
      <w:r>
        <w:rPr>
          <w:rStyle w:val="35"/>
          <w:rFonts w:hint="eastAsia"/>
        </w:rPr>
        <w:t>9</w:t>
      </w:r>
      <w:r>
        <w:rPr>
          <w:rStyle w:val="35"/>
        </w:rPr>
        <w:t xml:space="preserve"> </w:t>
      </w:r>
      <w:r>
        <w:rPr>
          <w:rStyle w:val="35"/>
          <w:rFonts w:hint="eastAsia"/>
        </w:rPr>
        <w:t xml:space="preserve"> 协同设计与性能平衡</w:t>
      </w:r>
      <w:r>
        <w:rPr>
          <w:rFonts w:hint="eastAsia"/>
        </w:rPr>
        <w:tab/>
      </w:r>
      <w:r>
        <w:rPr>
          <w:rFonts w:hint="eastAsia"/>
        </w:rPr>
        <w:fldChar w:fldCharType="begin"/>
      </w:r>
      <w:r>
        <w:rPr>
          <w:rFonts w:hint="eastAsia"/>
        </w:rPr>
        <w:instrText xml:space="preserve"> </w:instrText>
      </w:r>
      <w:r>
        <w:instrText xml:space="preserve">PAGEREF _Toc212403220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51E1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"_Toc212403221" </w:instrText>
      </w:r>
      <w:r>
        <w:fldChar w:fldCharType="separate"/>
      </w:r>
      <w:r>
        <w:rPr>
          <w:rStyle w:val="35"/>
          <w:rFonts w:hint="eastAsia"/>
          <w14:scene3d w14:prst="orthographicFront">
            <w14:lightRig w14:rig="threePt" w14:dir="t">
              <w14:rot w14:lat="0" w14:lon="0" w14:rev="0"/>
            </w14:lightRig>
          </w14:scene3d>
        </w:rPr>
        <w:t>9.1</w:t>
      </w:r>
      <w:r>
        <w:rPr>
          <w:rStyle w:val="35"/>
          <w14:scene3d w14:prst="orthographicFront">
            <w14:lightRig w14:rig="threePt" w14:dir="t">
              <w14:rot w14:lat="0" w14:lon="0" w14:rev="0"/>
            </w14:lightRig>
          </w14:scene3d>
        </w:rPr>
        <w:t xml:space="preserve"> </w:t>
      </w:r>
      <w:r>
        <w:rPr>
          <w:rStyle w:val="35"/>
          <w:rFonts w:hint="eastAsia"/>
        </w:rPr>
        <w:t xml:space="preserve"> 多专业协同</w:t>
      </w:r>
      <w:r>
        <w:rPr>
          <w:rFonts w:hint="eastAsia"/>
        </w:rPr>
        <w:tab/>
      </w:r>
      <w:r>
        <w:rPr>
          <w:rFonts w:hint="eastAsia"/>
        </w:rPr>
        <w:fldChar w:fldCharType="begin"/>
      </w:r>
      <w:r>
        <w:rPr>
          <w:rFonts w:hint="eastAsia"/>
        </w:rPr>
        <w:instrText xml:space="preserve"> </w:instrText>
      </w:r>
      <w:r>
        <w:instrText xml:space="preserve">PAGEREF _Toc212403221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7528F5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"_Toc212403222" </w:instrText>
      </w:r>
      <w:r>
        <w:fldChar w:fldCharType="separate"/>
      </w:r>
      <w:r>
        <w:rPr>
          <w:rStyle w:val="35"/>
          <w:rFonts w:hint="eastAsia"/>
          <w14:scene3d w14:prst="orthographicFront">
            <w14:lightRig w14:rig="threePt" w14:dir="t">
              <w14:rot w14:lat="0" w14:lon="0" w14:rev="0"/>
            </w14:lightRig>
          </w14:scene3d>
        </w:rPr>
        <w:t>9.2</w:t>
      </w:r>
      <w:r>
        <w:rPr>
          <w:rStyle w:val="35"/>
          <w14:scene3d w14:prst="orthographicFront">
            <w14:lightRig w14:rig="threePt" w14:dir="t">
              <w14:rot w14:lat="0" w14:lon="0" w14:rev="0"/>
            </w14:lightRig>
          </w14:scene3d>
        </w:rPr>
        <w:t xml:space="preserve"> </w:t>
      </w:r>
      <w:r>
        <w:rPr>
          <w:rStyle w:val="35"/>
          <w:rFonts w:hint="eastAsia"/>
        </w:rPr>
        <w:t xml:space="preserve"> 性能平衡与优化</w:t>
      </w:r>
      <w:r>
        <w:rPr>
          <w:rFonts w:hint="eastAsia"/>
        </w:rPr>
        <w:tab/>
      </w:r>
      <w:r>
        <w:rPr>
          <w:rFonts w:hint="eastAsia"/>
        </w:rPr>
        <w:fldChar w:fldCharType="begin"/>
      </w:r>
      <w:r>
        <w:rPr>
          <w:rFonts w:hint="eastAsia"/>
        </w:rPr>
        <w:instrText xml:space="preserve"> </w:instrText>
      </w:r>
      <w:r>
        <w:instrText xml:space="preserve">PAGEREF _Toc212403222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5529F7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"_Toc212403223" </w:instrText>
      </w:r>
      <w:r>
        <w:fldChar w:fldCharType="separate"/>
      </w:r>
      <w:r>
        <w:rPr>
          <w:rStyle w:val="35"/>
          <w:rFonts w:hint="eastAsia"/>
        </w:rPr>
        <w:t>10</w:t>
      </w:r>
      <w:r>
        <w:rPr>
          <w:rStyle w:val="35"/>
        </w:rPr>
        <w:t xml:space="preserve"> </w:t>
      </w:r>
      <w:r>
        <w:rPr>
          <w:rStyle w:val="35"/>
          <w:rFonts w:hint="eastAsia"/>
        </w:rPr>
        <w:t xml:space="preserve"> 环境效益评估与碳核算</w:t>
      </w:r>
      <w:r>
        <w:rPr>
          <w:rFonts w:hint="eastAsia"/>
        </w:rPr>
        <w:tab/>
      </w:r>
      <w:r>
        <w:rPr>
          <w:rFonts w:hint="eastAsia"/>
        </w:rPr>
        <w:fldChar w:fldCharType="begin"/>
      </w:r>
      <w:r>
        <w:rPr>
          <w:rFonts w:hint="eastAsia"/>
        </w:rPr>
        <w:instrText xml:space="preserve"> </w:instrText>
      </w:r>
      <w:r>
        <w:instrText xml:space="preserve">PAGEREF _Toc212403223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DBCEA1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"_Toc212403224" </w:instrText>
      </w:r>
      <w:r>
        <w:fldChar w:fldCharType="separate"/>
      </w:r>
      <w:r>
        <w:rPr>
          <w:rStyle w:val="35"/>
          <w:rFonts w:hint="eastAsia"/>
          <w14:scene3d w14:prst="orthographicFront">
            <w14:lightRig w14:rig="threePt" w14:dir="t">
              <w14:rot w14:lat="0" w14:lon="0" w14:rev="0"/>
            </w14:lightRig>
          </w14:scene3d>
        </w:rPr>
        <w:t>10.1</w:t>
      </w:r>
      <w:r>
        <w:rPr>
          <w:rStyle w:val="35"/>
          <w14:scene3d w14:prst="orthographicFront">
            <w14:lightRig w14:rig="threePt" w14:dir="t">
              <w14:rot w14:lat="0" w14:lon="0" w14:rev="0"/>
            </w14:lightRig>
          </w14:scene3d>
        </w:rPr>
        <w:t xml:space="preserve"> </w:t>
      </w:r>
      <w:r>
        <w:rPr>
          <w:rStyle w:val="35"/>
          <w:rFonts w:hint="eastAsia"/>
        </w:rPr>
        <w:t xml:space="preserve"> 评估内容</w:t>
      </w:r>
      <w:r>
        <w:rPr>
          <w:rFonts w:hint="eastAsia"/>
        </w:rPr>
        <w:tab/>
      </w:r>
      <w:r>
        <w:rPr>
          <w:rFonts w:hint="eastAsia"/>
        </w:rPr>
        <w:fldChar w:fldCharType="begin"/>
      </w:r>
      <w:r>
        <w:rPr>
          <w:rFonts w:hint="eastAsia"/>
        </w:rPr>
        <w:instrText xml:space="preserve"> </w:instrText>
      </w:r>
      <w:r>
        <w:instrText xml:space="preserve">PAGEREF _Toc212403224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36DDF1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"_Toc212403225" </w:instrText>
      </w:r>
      <w:r>
        <w:fldChar w:fldCharType="separate"/>
      </w:r>
      <w:r>
        <w:rPr>
          <w:rStyle w:val="35"/>
          <w:rFonts w:hint="eastAsia"/>
          <w14:scene3d w14:prst="orthographicFront">
            <w14:lightRig w14:rig="threePt" w14:dir="t">
              <w14:rot w14:lat="0" w14:lon="0" w14:rev="0"/>
            </w14:lightRig>
          </w14:scene3d>
        </w:rPr>
        <w:t>10.2</w:t>
      </w:r>
      <w:r>
        <w:rPr>
          <w:rStyle w:val="35"/>
          <w14:scene3d w14:prst="orthographicFront">
            <w14:lightRig w14:rig="threePt" w14:dir="t">
              <w14:rot w14:lat="0" w14:lon="0" w14:rev="0"/>
            </w14:lightRig>
          </w14:scene3d>
        </w:rPr>
        <w:t xml:space="preserve"> </w:t>
      </w:r>
      <w:r>
        <w:rPr>
          <w:rStyle w:val="35"/>
          <w:rFonts w:hint="eastAsia"/>
        </w:rPr>
        <w:t xml:space="preserve"> 碳核算方法</w:t>
      </w:r>
      <w:r>
        <w:rPr>
          <w:rFonts w:hint="eastAsia"/>
        </w:rPr>
        <w:tab/>
      </w:r>
      <w:r>
        <w:rPr>
          <w:rFonts w:hint="eastAsia"/>
        </w:rPr>
        <w:fldChar w:fldCharType="begin"/>
      </w:r>
      <w:r>
        <w:rPr>
          <w:rFonts w:hint="eastAsia"/>
        </w:rPr>
        <w:instrText xml:space="preserve"> </w:instrText>
      </w:r>
      <w:r>
        <w:instrText xml:space="preserve">PAGEREF _Toc212403225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914EBC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"_Toc212403226" </w:instrText>
      </w:r>
      <w:r>
        <w:fldChar w:fldCharType="separate"/>
      </w:r>
      <w:r>
        <w:rPr>
          <w:rStyle w:val="35"/>
          <w:rFonts w:hint="eastAsia"/>
          <w14:scene3d w14:prst="orthographicFront">
            <w14:lightRig w14:rig="threePt" w14:dir="t">
              <w14:rot w14:lat="0" w14:lon="0" w14:rev="0"/>
            </w14:lightRig>
          </w14:scene3d>
        </w:rPr>
        <w:t>10.3</w:t>
      </w:r>
      <w:r>
        <w:rPr>
          <w:rStyle w:val="35"/>
          <w14:scene3d w14:prst="orthographicFront">
            <w14:lightRig w14:rig="threePt" w14:dir="t">
              <w14:rot w14:lat="0" w14:lon="0" w14:rev="0"/>
            </w14:lightRig>
          </w14:scene3d>
        </w:rPr>
        <w:t xml:space="preserve"> </w:t>
      </w:r>
      <w:r>
        <w:rPr>
          <w:rStyle w:val="35"/>
          <w:rFonts w:hint="eastAsia"/>
        </w:rPr>
        <w:t xml:space="preserve"> 减排效果评估</w:t>
      </w:r>
      <w:r>
        <w:rPr>
          <w:rFonts w:hint="eastAsia"/>
        </w:rPr>
        <w:tab/>
      </w:r>
      <w:r>
        <w:rPr>
          <w:rFonts w:hint="eastAsia"/>
        </w:rPr>
        <w:fldChar w:fldCharType="begin"/>
      </w:r>
      <w:r>
        <w:rPr>
          <w:rFonts w:hint="eastAsia"/>
        </w:rPr>
        <w:instrText xml:space="preserve"> </w:instrText>
      </w:r>
      <w:r>
        <w:instrText xml:space="preserve">PAGEREF _Toc212403226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2A6B48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"_Toc212403227" </w:instrText>
      </w:r>
      <w:r>
        <w:fldChar w:fldCharType="separate"/>
      </w:r>
      <w:r>
        <w:rPr>
          <w:rStyle w:val="35"/>
          <w:rFonts w:hint="eastAsia"/>
          <w14:scene3d w14:prst="orthographicFront">
            <w14:lightRig w14:rig="threePt" w14:dir="t">
              <w14:rot w14:lat="0" w14:lon="0" w14:rev="0"/>
            </w14:lightRig>
          </w14:scene3d>
        </w:rPr>
        <w:t>10.4</w:t>
      </w:r>
      <w:r>
        <w:rPr>
          <w:rStyle w:val="35"/>
          <w14:scene3d w14:prst="orthographicFront">
            <w14:lightRig w14:rig="threePt" w14:dir="t">
              <w14:rot w14:lat="0" w14:lon="0" w14:rev="0"/>
            </w14:lightRig>
          </w14:scene3d>
        </w:rPr>
        <w:t xml:space="preserve"> </w:t>
      </w:r>
      <w:r>
        <w:rPr>
          <w:rStyle w:val="35"/>
          <w:rFonts w:hint="eastAsia"/>
        </w:rPr>
        <w:t xml:space="preserve"> 生态影响评估</w:t>
      </w:r>
      <w:r>
        <w:rPr>
          <w:rFonts w:hint="eastAsia"/>
        </w:rPr>
        <w:tab/>
      </w:r>
      <w:r>
        <w:rPr>
          <w:rFonts w:hint="eastAsia"/>
        </w:rPr>
        <w:fldChar w:fldCharType="begin"/>
      </w:r>
      <w:r>
        <w:rPr>
          <w:rFonts w:hint="eastAsia"/>
        </w:rPr>
        <w:instrText xml:space="preserve"> </w:instrText>
      </w:r>
      <w:r>
        <w:instrText xml:space="preserve">PAGEREF _Toc212403227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069249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"_Toc212403228" </w:instrText>
      </w:r>
      <w:r>
        <w:fldChar w:fldCharType="separate"/>
      </w:r>
      <w:r>
        <w:rPr>
          <w:rStyle w:val="35"/>
          <w:rFonts w:hint="eastAsia"/>
        </w:rPr>
        <w:t>11</w:t>
      </w:r>
      <w:r>
        <w:rPr>
          <w:rStyle w:val="35"/>
        </w:rPr>
        <w:t xml:space="preserve"> </w:t>
      </w:r>
      <w:r>
        <w:rPr>
          <w:rStyle w:val="35"/>
          <w:rFonts w:hint="eastAsia"/>
        </w:rPr>
        <w:t xml:space="preserve"> 设计文件编制要求</w:t>
      </w:r>
      <w:r>
        <w:rPr>
          <w:rFonts w:hint="eastAsia"/>
        </w:rPr>
        <w:tab/>
      </w:r>
      <w:r>
        <w:rPr>
          <w:rFonts w:hint="eastAsia"/>
        </w:rPr>
        <w:fldChar w:fldCharType="begin"/>
      </w:r>
      <w:r>
        <w:rPr>
          <w:rFonts w:hint="eastAsia"/>
        </w:rPr>
        <w:instrText xml:space="preserve"> </w:instrText>
      </w:r>
      <w:r>
        <w:instrText xml:space="preserve">PAGEREF _Toc212403228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CAE9F6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"_Toc212403229" </w:instrText>
      </w:r>
      <w:r>
        <w:fldChar w:fldCharType="separate"/>
      </w:r>
      <w:r>
        <w:rPr>
          <w:rStyle w:val="35"/>
          <w:rFonts w:hint="eastAsia"/>
        </w:rPr>
        <w:t>12</w:t>
      </w:r>
      <w:r>
        <w:rPr>
          <w:rStyle w:val="35"/>
        </w:rPr>
        <w:t xml:space="preserve"> </w:t>
      </w:r>
      <w:r>
        <w:rPr>
          <w:rStyle w:val="35"/>
          <w:rFonts w:hint="eastAsia"/>
        </w:rPr>
        <w:t xml:space="preserve"> 实施管理与绩效评价</w:t>
      </w:r>
      <w:r>
        <w:rPr>
          <w:rFonts w:hint="eastAsia"/>
        </w:rPr>
        <w:tab/>
      </w:r>
      <w:r>
        <w:rPr>
          <w:rFonts w:hint="eastAsia"/>
        </w:rPr>
        <w:fldChar w:fldCharType="begin"/>
      </w:r>
      <w:r>
        <w:rPr>
          <w:rFonts w:hint="eastAsia"/>
        </w:rPr>
        <w:instrText xml:space="preserve"> </w:instrText>
      </w:r>
      <w:r>
        <w:instrText xml:space="preserve">PAGEREF _Toc212403229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2273D9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"_Toc212403230" </w:instrText>
      </w:r>
      <w:r>
        <w:fldChar w:fldCharType="separate"/>
      </w:r>
      <w:r>
        <w:rPr>
          <w:rStyle w:val="35"/>
          <w:rFonts w:hint="eastAsia"/>
          <w14:scene3d w14:prst="orthographicFront">
            <w14:lightRig w14:rig="threePt" w14:dir="t">
              <w14:rot w14:lat="0" w14:lon="0" w14:rev="0"/>
            </w14:lightRig>
          </w14:scene3d>
        </w:rPr>
        <w:t>12.1</w:t>
      </w:r>
      <w:r>
        <w:rPr>
          <w:rStyle w:val="35"/>
          <w14:scene3d w14:prst="orthographicFront">
            <w14:lightRig w14:rig="threePt" w14:dir="t">
              <w14:rot w14:lat="0" w14:lon="0" w14:rev="0"/>
            </w14:lightRig>
          </w14:scene3d>
        </w:rPr>
        <w:t xml:space="preserve"> </w:t>
      </w:r>
      <w:r>
        <w:rPr>
          <w:rStyle w:val="35"/>
          <w:rFonts w:hint="eastAsia"/>
        </w:rPr>
        <w:t xml:space="preserve"> 管理职责与流程</w:t>
      </w:r>
      <w:r>
        <w:rPr>
          <w:rFonts w:hint="eastAsia"/>
        </w:rPr>
        <w:tab/>
      </w:r>
      <w:r>
        <w:rPr>
          <w:rFonts w:hint="eastAsia"/>
        </w:rPr>
        <w:fldChar w:fldCharType="begin"/>
      </w:r>
      <w:r>
        <w:rPr>
          <w:rFonts w:hint="eastAsia"/>
        </w:rPr>
        <w:instrText xml:space="preserve"> </w:instrText>
      </w:r>
      <w:r>
        <w:instrText xml:space="preserve">PAGEREF _Toc212403230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672B10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"_Toc212403231" </w:instrText>
      </w:r>
      <w:r>
        <w:fldChar w:fldCharType="separate"/>
      </w:r>
      <w:r>
        <w:rPr>
          <w:rStyle w:val="35"/>
          <w:rFonts w:hint="eastAsia"/>
          <w14:scene3d w14:prst="orthographicFront">
            <w14:lightRig w14:rig="threePt" w14:dir="t">
              <w14:rot w14:lat="0" w14:lon="0" w14:rev="0"/>
            </w14:lightRig>
          </w14:scene3d>
        </w:rPr>
        <w:t>12.2</w:t>
      </w:r>
      <w:r>
        <w:rPr>
          <w:rStyle w:val="35"/>
          <w14:scene3d w14:prst="orthographicFront">
            <w14:lightRig w14:rig="threePt" w14:dir="t">
              <w14:rot w14:lat="0" w14:lon="0" w14:rev="0"/>
            </w14:lightRig>
          </w14:scene3d>
        </w:rPr>
        <w:t xml:space="preserve"> </w:t>
      </w:r>
      <w:r>
        <w:rPr>
          <w:rStyle w:val="35"/>
          <w:rFonts w:hint="eastAsia"/>
        </w:rPr>
        <w:t xml:space="preserve"> 过程控制要求</w:t>
      </w:r>
      <w:r>
        <w:rPr>
          <w:rFonts w:hint="eastAsia"/>
        </w:rPr>
        <w:tab/>
      </w:r>
      <w:r>
        <w:rPr>
          <w:rFonts w:hint="eastAsia"/>
        </w:rPr>
        <w:fldChar w:fldCharType="begin"/>
      </w:r>
      <w:r>
        <w:rPr>
          <w:rFonts w:hint="eastAsia"/>
        </w:rPr>
        <w:instrText xml:space="preserve"> </w:instrText>
      </w:r>
      <w:r>
        <w:instrText xml:space="preserve">PAGEREF _Toc212403231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8FE5E5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"_Toc212403232" </w:instrText>
      </w:r>
      <w:r>
        <w:fldChar w:fldCharType="separate"/>
      </w:r>
      <w:r>
        <w:rPr>
          <w:rStyle w:val="35"/>
          <w:rFonts w:hint="eastAsia"/>
          <w14:scene3d w14:prst="orthographicFront">
            <w14:lightRig w14:rig="threePt" w14:dir="t">
              <w14:rot w14:lat="0" w14:lon="0" w14:rev="0"/>
            </w14:lightRig>
          </w14:scene3d>
        </w:rPr>
        <w:t>12.3</w:t>
      </w:r>
      <w:r>
        <w:rPr>
          <w:rStyle w:val="35"/>
          <w14:scene3d w14:prst="orthographicFront">
            <w14:lightRig w14:rig="threePt" w14:dir="t">
              <w14:rot w14:lat="0" w14:lon="0" w14:rev="0"/>
            </w14:lightRig>
          </w14:scene3d>
        </w:rPr>
        <w:t xml:space="preserve"> </w:t>
      </w:r>
      <w:r>
        <w:rPr>
          <w:rStyle w:val="35"/>
          <w:rFonts w:hint="eastAsia"/>
        </w:rPr>
        <w:t xml:space="preserve"> 绩效评价指标</w:t>
      </w:r>
      <w:r>
        <w:rPr>
          <w:rFonts w:hint="eastAsia"/>
        </w:rPr>
        <w:tab/>
      </w:r>
      <w:r>
        <w:rPr>
          <w:rFonts w:hint="eastAsia"/>
        </w:rPr>
        <w:fldChar w:fldCharType="begin"/>
      </w:r>
      <w:r>
        <w:rPr>
          <w:rFonts w:hint="eastAsia"/>
        </w:rPr>
        <w:instrText xml:space="preserve"> </w:instrText>
      </w:r>
      <w:r>
        <w:instrText xml:space="preserve">PAGEREF _Toc212403232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1751E2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"_Toc212403233" </w:instrText>
      </w:r>
      <w:r>
        <w:fldChar w:fldCharType="separate"/>
      </w:r>
      <w:r>
        <w:rPr>
          <w:rStyle w:val="35"/>
          <w:rFonts w:hint="eastAsia"/>
          <w14:scene3d w14:prst="orthographicFront">
            <w14:lightRig w14:rig="threePt" w14:dir="t">
              <w14:rot w14:lat="0" w14:lon="0" w14:rev="0"/>
            </w14:lightRig>
          </w14:scene3d>
        </w:rPr>
        <w:t>12.4</w:t>
      </w:r>
      <w:r>
        <w:rPr>
          <w:rStyle w:val="35"/>
          <w14:scene3d w14:prst="orthographicFront">
            <w14:lightRig w14:rig="threePt" w14:dir="t">
              <w14:rot w14:lat="0" w14:lon="0" w14:rev="0"/>
            </w14:lightRig>
          </w14:scene3d>
        </w:rPr>
        <w:t xml:space="preserve"> </w:t>
      </w:r>
      <w:r>
        <w:rPr>
          <w:rStyle w:val="35"/>
          <w:rFonts w:hint="eastAsia"/>
        </w:rPr>
        <w:t xml:space="preserve"> 持续改进机制</w:t>
      </w:r>
      <w:r>
        <w:rPr>
          <w:rFonts w:hint="eastAsia"/>
        </w:rPr>
        <w:tab/>
      </w:r>
      <w:r>
        <w:rPr>
          <w:rFonts w:hint="eastAsia"/>
        </w:rPr>
        <w:fldChar w:fldCharType="begin"/>
      </w:r>
      <w:r>
        <w:rPr>
          <w:rFonts w:hint="eastAsia"/>
        </w:rPr>
        <w:instrText xml:space="preserve"> </w:instrText>
      </w:r>
      <w:r>
        <w:instrText xml:space="preserve">PAGEREF _Toc212403233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A8192BD">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5B320E25">
      <w:pPr>
        <w:pStyle w:val="92"/>
        <w:spacing w:before="850" w:after="680" w:afterLines="0"/>
      </w:pPr>
      <w:bookmarkStart w:id="5" w:name="_Toc212403197"/>
      <w:bookmarkStart w:id="6" w:name="BookMark2"/>
      <w:r>
        <w:rPr>
          <w:rFonts w:hint="eastAsia"/>
        </w:rPr>
        <w:t>前</w:t>
      </w:r>
      <w:r>
        <w:t>言</w:t>
      </w:r>
      <w:bookmarkEnd w:id="1"/>
      <w:bookmarkEnd w:id="2"/>
      <w:bookmarkEnd w:id="3"/>
      <w:bookmarkEnd w:id="4"/>
      <w:bookmarkEnd w:id="5"/>
    </w:p>
    <w:p w14:paraId="2A558300">
      <w:pPr>
        <w:pStyle w:val="59"/>
        <w:ind w:firstLine="420"/>
      </w:pPr>
      <w:r>
        <w:rPr>
          <w:rFonts w:hint="eastAsia"/>
        </w:rPr>
        <w:t>本文件按照GB/T 1.1—2020《标准化工作导则  第1部分：标准化文件的结构和起草规则》的规定起草。</w:t>
      </w:r>
    </w:p>
    <w:p w14:paraId="2D8F5D82">
      <w:pPr>
        <w:pStyle w:val="59"/>
        <w:ind w:firstLine="420"/>
      </w:pPr>
      <w:r>
        <w:rPr>
          <w:rFonts w:hint="eastAsia"/>
        </w:rPr>
        <w:t>请注意本文件的某些内容可能涉及专利。本文件的发布机构不承担识别专利的责任。</w:t>
      </w:r>
    </w:p>
    <w:p w14:paraId="70031B24">
      <w:pPr>
        <w:pStyle w:val="59"/>
        <w:ind w:firstLine="420"/>
      </w:pPr>
      <w:r>
        <w:rPr>
          <w:rFonts w:hint="eastAsia"/>
        </w:rPr>
        <w:t>本文件由中国西部开发促进会提出并归口。</w:t>
      </w:r>
      <w:bookmarkStart w:id="117" w:name="_GoBack"/>
      <w:bookmarkEnd w:id="117"/>
    </w:p>
    <w:p w14:paraId="423528E4">
      <w:pPr>
        <w:pStyle w:val="59"/>
        <w:ind w:firstLine="420"/>
      </w:pPr>
      <w:r>
        <w:rPr>
          <w:rFonts w:hint="eastAsia"/>
        </w:rPr>
        <w:t>本文件起草单位：广东省百晟建设工程有限公司。</w:t>
      </w:r>
    </w:p>
    <w:p w14:paraId="0C6E9390">
      <w:pPr>
        <w:pStyle w:val="59"/>
        <w:ind w:firstLine="420"/>
      </w:pPr>
      <w:r>
        <w:rPr>
          <w:rFonts w:hint="eastAsia"/>
        </w:rPr>
        <w:t>本文件主要起草人：。</w:t>
      </w:r>
    </w:p>
    <w:p w14:paraId="091FC1E6">
      <w:pPr>
        <w:pStyle w:val="59"/>
        <w:ind w:firstLine="420"/>
      </w:pPr>
      <w:r>
        <w:rPr>
          <w:rFonts w:hint="eastAsia"/>
        </w:rPr>
        <w:t>本文件为首次发布。</w:t>
      </w:r>
    </w:p>
    <w:p w14:paraId="225E4C14">
      <w:pPr>
        <w:pStyle w:val="59"/>
        <w:ind w:firstLine="420"/>
      </w:pPr>
    </w:p>
    <w:p w14:paraId="16996599">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6"/>
    <w:p w14:paraId="15DB5941">
      <w:pPr>
        <w:spacing w:line="20" w:lineRule="exact"/>
        <w:jc w:val="center"/>
        <w:rPr>
          <w:rFonts w:hint="eastAsia" w:ascii="黑体" w:hAnsi="黑体" w:eastAsia="黑体"/>
          <w:sz w:val="32"/>
          <w:szCs w:val="32"/>
        </w:rPr>
      </w:pPr>
      <w:bookmarkStart w:id="7" w:name="BookMark4"/>
    </w:p>
    <w:p w14:paraId="1AFBCEB5">
      <w:pPr>
        <w:spacing w:line="20" w:lineRule="exact"/>
        <w:jc w:val="center"/>
        <w:rPr>
          <w:rFonts w:hint="eastAsia" w:ascii="黑体" w:hAnsi="黑体" w:eastAsia="黑体"/>
          <w:sz w:val="32"/>
          <w:szCs w:val="32"/>
        </w:rPr>
      </w:pPr>
    </w:p>
    <w:p w14:paraId="4935C328">
      <w:pPr>
        <w:pStyle w:val="92"/>
        <w:spacing w:before="850" w:after="680" w:afterLines="0"/>
        <w:ind w:left="0" w:firstLine="0"/>
        <w:outlineLvl w:val="9"/>
      </w:pPr>
      <w:bookmarkStart w:id="8" w:name="_Toc212403198"/>
      <w:bookmarkStart w:id="9" w:name="_Toc212402511"/>
      <w:bookmarkStart w:id="10" w:name="_Toc24884211"/>
      <w:bookmarkStart w:id="11" w:name="_Toc17233325"/>
      <w:bookmarkStart w:id="12" w:name="_Toc24884218"/>
      <w:bookmarkStart w:id="13" w:name="_Toc97192964"/>
      <w:bookmarkStart w:id="14" w:name="_Toc26986771"/>
      <w:bookmarkStart w:id="15" w:name="_Toc26648465"/>
      <w:bookmarkStart w:id="16" w:name="_Toc26986530"/>
      <w:bookmarkStart w:id="17" w:name="_Toc26718930"/>
      <w:bookmarkStart w:id="18" w:name="NEW_STAND_NAME"/>
      <w:bookmarkStart w:id="19" w:name="_Toc113284169"/>
      <w:bookmarkStart w:id="20" w:name="_Toc17233333"/>
      <w:r>
        <w:rPr>
          <w:rFonts w:hint="eastAsia"/>
        </w:rPr>
        <w:t>道路市政工程绿色低碳路面设计规范</w:t>
      </w:r>
      <w:bookmarkEnd w:id="8"/>
      <w:bookmarkEnd w:id="9"/>
    </w:p>
    <w:bookmarkEnd w:id="10"/>
    <w:bookmarkEnd w:id="11"/>
    <w:bookmarkEnd w:id="12"/>
    <w:bookmarkEnd w:id="13"/>
    <w:bookmarkEnd w:id="14"/>
    <w:bookmarkEnd w:id="15"/>
    <w:bookmarkEnd w:id="16"/>
    <w:bookmarkEnd w:id="17"/>
    <w:bookmarkEnd w:id="18"/>
    <w:bookmarkEnd w:id="19"/>
    <w:bookmarkEnd w:id="20"/>
    <w:p w14:paraId="2E8CA15C">
      <w:pPr>
        <w:pStyle w:val="107"/>
        <w:spacing w:before="240" w:after="240"/>
      </w:pPr>
      <w:bookmarkStart w:id="21" w:name="_Toc18263"/>
      <w:bookmarkStart w:id="22" w:name="_Toc24419"/>
      <w:bookmarkStart w:id="23" w:name="_Toc212233056"/>
      <w:bookmarkStart w:id="24" w:name="_Toc23108"/>
      <w:bookmarkStart w:id="25" w:name="_Toc113282590"/>
      <w:bookmarkStart w:id="26" w:name="_Toc212403199"/>
      <w:bookmarkStart w:id="27" w:name="_Toc212402512"/>
      <w:bookmarkStart w:id="28" w:name="_Toc7073"/>
      <w:r>
        <w:rPr>
          <w:rFonts w:hint="eastAsia"/>
        </w:rPr>
        <w:t>范围</w:t>
      </w:r>
      <w:bookmarkEnd w:id="21"/>
      <w:bookmarkEnd w:id="22"/>
      <w:bookmarkEnd w:id="23"/>
      <w:bookmarkEnd w:id="24"/>
      <w:bookmarkEnd w:id="25"/>
      <w:bookmarkEnd w:id="26"/>
      <w:bookmarkEnd w:id="27"/>
      <w:bookmarkEnd w:id="28"/>
    </w:p>
    <w:p w14:paraId="6417195E">
      <w:pPr>
        <w:pStyle w:val="59"/>
        <w:ind w:firstLine="420"/>
      </w:pPr>
      <w:bookmarkStart w:id="29" w:name="_Toc17233334"/>
      <w:bookmarkStart w:id="30" w:name="_Toc17233326"/>
      <w:bookmarkStart w:id="31" w:name="_Toc24884219"/>
      <w:bookmarkStart w:id="32" w:name="_Toc24884212"/>
      <w:bookmarkStart w:id="33" w:name="_Toc26648466"/>
      <w:r>
        <w:rPr>
          <w:rFonts w:hint="eastAsia"/>
        </w:rPr>
        <w:t>本文件规定了道路市政工程绿色低碳路面设计的基本规定、材料选择、路面结构设计、功能层设计、施工工艺质量控制、养护与运营、环境效益评估与碳核算、协同设计与性能平衡。</w:t>
      </w:r>
    </w:p>
    <w:p w14:paraId="653507E8">
      <w:pPr>
        <w:pStyle w:val="59"/>
        <w:ind w:firstLine="420"/>
      </w:pPr>
      <w:r>
        <w:rPr>
          <w:rFonts w:hint="eastAsia"/>
        </w:rPr>
        <w:t>本文件适用于新建、改建和扩建的城市道路、公路等市政工程的路面绿色低碳设计，并为路面养护决策提供技术依据。</w:t>
      </w:r>
    </w:p>
    <w:p w14:paraId="3E7D4A8A">
      <w:pPr>
        <w:pStyle w:val="107"/>
        <w:spacing w:before="240" w:after="240"/>
      </w:pPr>
      <w:bookmarkStart w:id="34" w:name="_Toc29984"/>
      <w:bookmarkStart w:id="35" w:name="_Toc13917"/>
      <w:bookmarkStart w:id="36" w:name="_Toc1048"/>
      <w:bookmarkStart w:id="37" w:name="_Toc97192965"/>
      <w:bookmarkStart w:id="38" w:name="_Toc113282591"/>
      <w:bookmarkStart w:id="39" w:name="_Toc26986531"/>
      <w:bookmarkStart w:id="40" w:name="_Toc19575"/>
      <w:bookmarkStart w:id="41" w:name="_Toc26986772"/>
      <w:bookmarkStart w:id="42" w:name="_Toc26718931"/>
      <w:bookmarkStart w:id="43" w:name="_Toc212233057"/>
      <w:bookmarkStart w:id="44" w:name="_Toc212402513"/>
      <w:bookmarkStart w:id="45" w:name="_Toc212403200"/>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113282592"/>
      <w:bookmarkStart w:id="47" w:name="_Toc97192966"/>
    </w:p>
    <w:p w14:paraId="65A3B071">
      <w:pPr>
        <w:autoSpaceDE w:val="0"/>
        <w:autoSpaceDN w:val="0"/>
        <w:spacing w:line="240" w:lineRule="auto"/>
        <w:ind w:firstLine="420" w:firstLineChars="200"/>
        <w:rPr>
          <w:rFonts w:ascii="宋体" w:hAnsi="宋体" w:cs="宋体"/>
        </w:rPr>
      </w:pPr>
      <w:r>
        <w:rPr>
          <w:rFonts w:ascii="宋体" w:hAnsi="宋体" w:cs="宋体"/>
        </w:rPr>
        <w:t>GB/T 25878</w:t>
      </w:r>
      <w:r>
        <w:rPr>
          <w:rFonts w:hint="eastAsia" w:ascii="宋体" w:hAnsi="宋体" w:cs="宋体"/>
        </w:rPr>
        <w:t xml:space="preserve"> 对虾传染性皮下及造血组织坏死病毒（IHHNV）检测　PCR法</w:t>
      </w:r>
    </w:p>
    <w:p w14:paraId="6F602ED6">
      <w:pPr>
        <w:autoSpaceDE w:val="0"/>
        <w:autoSpaceDN w:val="0"/>
        <w:spacing w:line="240" w:lineRule="auto"/>
        <w:ind w:firstLine="420" w:firstLineChars="200"/>
        <w:rPr>
          <w:rFonts w:hint="eastAsia" w:ascii="宋体" w:hAnsi="宋体" w:cs="宋体"/>
        </w:rPr>
      </w:pPr>
      <w:r>
        <w:rPr>
          <w:rFonts w:ascii="宋体" w:hAnsi="宋体" w:cs="宋体"/>
        </w:rPr>
        <w:t>GB/T 50378</w:t>
      </w:r>
      <w:r>
        <w:rPr>
          <w:rFonts w:hint="eastAsia" w:ascii="宋体" w:hAnsi="宋体" w:cs="宋体"/>
        </w:rPr>
        <w:t xml:space="preserve"> 绿色建筑评价标准（2024年版）</w:t>
      </w:r>
    </w:p>
    <w:p w14:paraId="6E3FFBA3">
      <w:pPr>
        <w:autoSpaceDE w:val="0"/>
        <w:autoSpaceDN w:val="0"/>
        <w:spacing w:line="240" w:lineRule="auto"/>
        <w:ind w:firstLine="420" w:firstLineChars="200"/>
        <w:rPr>
          <w:rFonts w:hint="eastAsia" w:ascii="宋体" w:hAnsi="宋体" w:cs="宋体"/>
        </w:rPr>
      </w:pPr>
      <w:r>
        <w:rPr>
          <w:rFonts w:ascii="宋体" w:hAnsi="宋体" w:cs="宋体"/>
        </w:rPr>
        <w:t xml:space="preserve">GB/T 51366 </w:t>
      </w:r>
      <w:r>
        <w:rPr>
          <w:rFonts w:hint="eastAsia" w:ascii="宋体" w:hAnsi="宋体" w:cs="宋体"/>
        </w:rPr>
        <w:t>建筑碳排放计算标准</w:t>
      </w:r>
    </w:p>
    <w:p w14:paraId="045EBB8B">
      <w:pPr>
        <w:autoSpaceDE w:val="0"/>
        <w:autoSpaceDN w:val="0"/>
        <w:spacing w:line="240" w:lineRule="auto"/>
        <w:ind w:firstLine="420" w:firstLineChars="200"/>
        <w:rPr>
          <w:rFonts w:ascii="宋体" w:hAnsi="宋体" w:cs="宋体"/>
        </w:rPr>
      </w:pPr>
      <w:r>
        <w:rPr>
          <w:rFonts w:ascii="宋体" w:hAnsi="宋体" w:cs="宋体"/>
        </w:rPr>
        <w:t>CJJ/T 154</w:t>
      </w:r>
      <w:r>
        <w:rPr>
          <w:rFonts w:hint="eastAsia" w:ascii="宋体" w:hAnsi="宋体" w:cs="宋体"/>
        </w:rPr>
        <w:t xml:space="preserve"> 建筑给水金属管道工程技术标准</w:t>
      </w:r>
    </w:p>
    <w:p w14:paraId="2AC49F14">
      <w:pPr>
        <w:autoSpaceDE w:val="0"/>
        <w:autoSpaceDN w:val="0"/>
        <w:spacing w:line="240" w:lineRule="auto"/>
        <w:ind w:firstLine="420" w:firstLineChars="200"/>
        <w:rPr>
          <w:rFonts w:ascii="宋体" w:hAnsi="宋体" w:cs="宋体"/>
        </w:rPr>
      </w:pPr>
      <w:r>
        <w:rPr>
          <w:rFonts w:ascii="宋体" w:hAnsi="宋体" w:cs="宋体"/>
        </w:rPr>
        <w:t>JTG F40</w:t>
      </w:r>
      <w:r>
        <w:rPr>
          <w:rFonts w:hint="eastAsia" w:ascii="宋体" w:hAnsi="宋体" w:cs="宋体"/>
        </w:rPr>
        <w:t xml:space="preserve"> 公路沥青路面施工技术规范</w:t>
      </w:r>
    </w:p>
    <w:p w14:paraId="5172E678">
      <w:pPr>
        <w:autoSpaceDE w:val="0"/>
        <w:autoSpaceDN w:val="0"/>
        <w:spacing w:line="240" w:lineRule="auto"/>
        <w:ind w:firstLine="420" w:firstLineChars="200"/>
        <w:rPr>
          <w:rFonts w:hint="eastAsia" w:ascii="宋体" w:hAnsi="宋体" w:cs="宋体"/>
        </w:rPr>
      </w:pPr>
      <w:r>
        <w:rPr>
          <w:rFonts w:ascii="宋体" w:hAnsi="宋体" w:cs="宋体"/>
        </w:rPr>
        <w:t>JTG D50</w:t>
      </w:r>
      <w:r>
        <w:rPr>
          <w:rFonts w:hint="eastAsia" w:ascii="宋体" w:hAnsi="宋体" w:cs="宋体"/>
        </w:rPr>
        <w:t xml:space="preserve"> 公路沥青路面设计规范</w:t>
      </w:r>
    </w:p>
    <w:p w14:paraId="27A59095">
      <w:pPr>
        <w:pStyle w:val="107"/>
        <w:spacing w:before="240" w:after="240"/>
      </w:pPr>
      <w:bookmarkStart w:id="48" w:name="_Toc11391"/>
      <w:bookmarkStart w:id="49" w:name="_Toc212402514"/>
      <w:bookmarkStart w:id="50" w:name="_Toc4140"/>
      <w:bookmarkStart w:id="51" w:name="_Toc6287"/>
      <w:bookmarkStart w:id="52" w:name="_Toc212233058"/>
      <w:bookmarkStart w:id="53" w:name="_Toc212403201"/>
      <w:bookmarkStart w:id="54" w:name="_Toc2656"/>
      <w:r>
        <w:rPr>
          <w:rFonts w:hint="eastAsia"/>
          <w:szCs w:val="21"/>
        </w:rPr>
        <w:t>术语和定义</w:t>
      </w:r>
      <w:bookmarkEnd w:id="46"/>
      <w:bookmarkEnd w:id="47"/>
      <w:bookmarkEnd w:id="48"/>
      <w:bookmarkEnd w:id="49"/>
      <w:bookmarkEnd w:id="50"/>
      <w:bookmarkEnd w:id="51"/>
      <w:bookmarkEnd w:id="52"/>
      <w:bookmarkEnd w:id="53"/>
      <w:bookmarkEnd w:id="54"/>
    </w:p>
    <w:p w14:paraId="15A85B0E">
      <w:pPr>
        <w:pStyle w:val="59"/>
        <w:ind w:firstLine="420"/>
      </w:pPr>
      <w:r>
        <w:rPr>
          <w:rFonts w:hint="eastAsia"/>
        </w:rPr>
        <w:t>下列术语和定义适用于本文件。</w:t>
      </w:r>
    </w:p>
    <w:p w14:paraId="23A52AC8">
      <w:pPr>
        <w:pStyle w:val="226"/>
      </w:pPr>
      <w:r>
        <w:br w:type="textWrapping"/>
      </w:r>
      <w:r>
        <w:rPr>
          <w:rFonts w:hint="eastAsia"/>
        </w:rPr>
        <w:t>绿色低碳路面 green low-carbon pavement</w:t>
      </w:r>
    </w:p>
    <w:p w14:paraId="514EB6C2">
      <w:pPr>
        <w:pStyle w:val="59"/>
        <w:ind w:firstLine="420"/>
        <w:rPr>
          <w:rFonts w:hint="eastAsia"/>
        </w:rPr>
      </w:pPr>
      <w:r>
        <w:rPr>
          <w:rFonts w:hint="eastAsia"/>
        </w:rPr>
        <w:t>在全生命周期内，能最大程度地节约资源、保护环境、降低碳排放，与自然和谐共生的路面工程。</w:t>
      </w:r>
    </w:p>
    <w:p w14:paraId="7B3276A9">
      <w:pPr>
        <w:pStyle w:val="226"/>
      </w:pPr>
      <w:r>
        <w:br w:type="textWrapping"/>
      </w:r>
      <w:r>
        <w:rPr>
          <w:rFonts w:hint="eastAsia"/>
        </w:rPr>
        <w:t>全生命周期碳排放 full life cycle carbon emissions</w:t>
      </w:r>
    </w:p>
    <w:p w14:paraId="70074014">
      <w:pPr>
        <w:pStyle w:val="59"/>
        <w:ind w:firstLine="420"/>
        <w:rPr>
          <w:rFonts w:hint="eastAsia"/>
        </w:rPr>
      </w:pPr>
      <w:r>
        <w:rPr>
          <w:rFonts w:hint="eastAsia"/>
        </w:rPr>
        <w:t>路面工程在原材料获取、生产、建造、运营、维护和拆除回收整个过程中产生的二氧化碳当量排放总和。</w:t>
      </w:r>
    </w:p>
    <w:p w14:paraId="29D50E9A">
      <w:pPr>
        <w:pStyle w:val="226"/>
      </w:pPr>
      <w:r>
        <w:br w:type="textWrapping"/>
      </w:r>
      <w:r>
        <w:rPr>
          <w:rFonts w:hint="eastAsia"/>
        </w:rPr>
        <w:t>温拌沥青技术 warm-mix asphalt technology</w:t>
      </w:r>
    </w:p>
    <w:p w14:paraId="7B46E16F">
      <w:pPr>
        <w:pStyle w:val="59"/>
        <w:ind w:firstLine="420"/>
        <w:rPr>
          <w:rFonts w:hint="eastAsia"/>
        </w:rPr>
      </w:pPr>
      <w:r>
        <w:rPr>
          <w:rFonts w:hint="eastAsia"/>
        </w:rPr>
        <w:t>通过技术措施使沥青混合料在相对常规热拌沥青降低20℃～40℃的温度下进行拌和与施工的技术。</w:t>
      </w:r>
    </w:p>
    <w:p w14:paraId="51342666">
      <w:pPr>
        <w:pStyle w:val="226"/>
      </w:pPr>
      <w:r>
        <w:br w:type="textWrapping"/>
      </w:r>
      <w:r>
        <w:rPr>
          <w:rFonts w:hint="eastAsia"/>
        </w:rPr>
        <w:t>建筑垃圾再生骨料 recycled aggregate form construction waste</w:t>
      </w:r>
    </w:p>
    <w:p w14:paraId="31A9F73B">
      <w:pPr>
        <w:pStyle w:val="59"/>
        <w:ind w:firstLine="420"/>
        <w:rPr>
          <w:rFonts w:hint="eastAsia"/>
        </w:rPr>
      </w:pPr>
      <w:r>
        <w:rPr>
          <w:rFonts w:hint="eastAsia"/>
        </w:rPr>
        <w:t>由建筑废弃混凝土、砖瓦等经破碎、筛分、分级后，按一定比例混合而成的骨料。</w:t>
      </w:r>
    </w:p>
    <w:p w14:paraId="206074D4">
      <w:pPr>
        <w:pStyle w:val="226"/>
      </w:pPr>
      <w:r>
        <w:br w:type="textWrapping"/>
      </w:r>
      <w:r>
        <w:rPr>
          <w:rFonts w:hint="eastAsia"/>
        </w:rPr>
        <w:t>低碳养护技术 low-carbon maintenance technology</w:t>
      </w:r>
    </w:p>
    <w:p w14:paraId="3EF6DA9D">
      <w:pPr>
        <w:pStyle w:val="59"/>
        <w:ind w:firstLine="420"/>
        <w:rPr>
          <w:rFonts w:hint="eastAsia"/>
        </w:rPr>
      </w:pPr>
      <w:r>
        <w:rPr>
          <w:rFonts w:hint="eastAsia"/>
        </w:rPr>
        <w:t>在路面养护过程中，能有效降低能源消耗和温室气体排放的技术，如薄层罩面、原位再生、预防性养护等。</w:t>
      </w:r>
    </w:p>
    <w:p w14:paraId="2E7CEC83">
      <w:pPr>
        <w:pStyle w:val="226"/>
      </w:pPr>
      <w:r>
        <w:br w:type="textWrapping"/>
      </w:r>
      <w:r>
        <w:rPr>
          <w:rFonts w:hint="eastAsia"/>
        </w:rPr>
        <w:t>协同设计 collaborative design</w:t>
      </w:r>
    </w:p>
    <w:p w14:paraId="4490E9F7">
      <w:pPr>
        <w:pStyle w:val="59"/>
        <w:ind w:firstLine="420"/>
        <w:rPr>
          <w:rFonts w:hint="eastAsia"/>
        </w:rPr>
      </w:pPr>
      <w:r>
        <w:rPr>
          <w:rFonts w:hint="eastAsia"/>
        </w:rPr>
        <w:t>在路面设计过程中，结构、材料、排水、景观等多专业共同参与、相互配合，以实现综合最优性能的设计方法。</w:t>
      </w:r>
    </w:p>
    <w:p w14:paraId="322D40F7">
      <w:pPr>
        <w:pStyle w:val="107"/>
        <w:spacing w:before="240" w:after="240"/>
      </w:pPr>
      <w:bookmarkStart w:id="55" w:name="_Toc212403202"/>
      <w:bookmarkStart w:id="56" w:name="_Toc212402515"/>
      <w:r>
        <w:rPr>
          <w:rFonts w:hint="eastAsia"/>
        </w:rPr>
        <w:t>基本规定</w:t>
      </w:r>
      <w:bookmarkEnd w:id="55"/>
      <w:bookmarkEnd w:id="56"/>
    </w:p>
    <w:p w14:paraId="6D0FCD4B">
      <w:pPr>
        <w:pStyle w:val="165"/>
        <w:rPr>
          <w:rFonts w:hint="eastAsia"/>
        </w:rPr>
      </w:pPr>
      <w:r>
        <w:rPr>
          <w:rFonts w:hint="eastAsia"/>
        </w:rPr>
        <w:t>路面设计应遵循“减量化、再利用、资源化”原则，优先采用再生材料和低碳技术。</w:t>
      </w:r>
    </w:p>
    <w:p w14:paraId="1243A897">
      <w:pPr>
        <w:pStyle w:val="165"/>
        <w:rPr>
          <w:rFonts w:hint="eastAsia"/>
        </w:rPr>
      </w:pPr>
      <w:r>
        <w:rPr>
          <w:rFonts w:hint="eastAsia"/>
        </w:rPr>
        <w:t>设计应基于全生命周期理念，综合考虑材料生产、施工、运营维护至拆除阶段的环境影响和碳排放。</w:t>
      </w:r>
    </w:p>
    <w:p w14:paraId="48A76EEA">
      <w:pPr>
        <w:pStyle w:val="165"/>
        <w:rPr>
          <w:rFonts w:hint="eastAsia"/>
        </w:rPr>
      </w:pPr>
      <w:r>
        <w:rPr>
          <w:rFonts w:hint="eastAsia"/>
        </w:rPr>
        <w:t>应与道路工程主体设计同步进行，确保绿色低碳目标与结构安全、使用功能相协调。</w:t>
      </w:r>
    </w:p>
    <w:p w14:paraId="5A56DA7A">
      <w:pPr>
        <w:pStyle w:val="165"/>
        <w:rPr>
          <w:rFonts w:hint="eastAsia"/>
        </w:rPr>
      </w:pPr>
      <w:r>
        <w:rPr>
          <w:rFonts w:hint="eastAsia"/>
        </w:rPr>
        <w:t>应结合项目所在地的气候、环境、资源及经济发展水平，选择适宜的技术路径和材料。</w:t>
      </w:r>
    </w:p>
    <w:p w14:paraId="5108617F">
      <w:pPr>
        <w:pStyle w:val="165"/>
        <w:rPr>
          <w:rFonts w:hint="eastAsia"/>
        </w:rPr>
      </w:pPr>
      <w:r>
        <w:rPr>
          <w:rFonts w:hint="eastAsia"/>
        </w:rPr>
        <w:t>路面设计应体现可恢复性理念，确保路面结构在损伤后易于修复，且修复过程本身符合绿色低碳要求。</w:t>
      </w:r>
    </w:p>
    <w:p w14:paraId="7584D3E1">
      <w:pPr>
        <w:pStyle w:val="165"/>
        <w:rPr>
          <w:rFonts w:hint="eastAsia"/>
        </w:rPr>
      </w:pPr>
      <w:r>
        <w:rPr>
          <w:rFonts w:hint="eastAsia"/>
        </w:rPr>
        <w:t>应建立从材料生产、施工建造、运营维护到资源化回收的全生命周期档案。</w:t>
      </w:r>
    </w:p>
    <w:p w14:paraId="4AEE8D92">
      <w:pPr>
        <w:pStyle w:val="107"/>
        <w:spacing w:before="240" w:after="240"/>
      </w:pPr>
      <w:bookmarkStart w:id="57" w:name="_Toc212403203"/>
      <w:bookmarkStart w:id="58" w:name="_Toc212402516"/>
      <w:r>
        <w:rPr>
          <w:rFonts w:hint="eastAsia"/>
        </w:rPr>
        <w:t>材料选择</w:t>
      </w:r>
      <w:bookmarkEnd w:id="57"/>
      <w:bookmarkEnd w:id="58"/>
    </w:p>
    <w:p w14:paraId="667C1857">
      <w:pPr>
        <w:pStyle w:val="108"/>
        <w:spacing w:before="120" w:after="120"/>
      </w:pPr>
      <w:bookmarkStart w:id="59" w:name="_Toc212403204"/>
      <w:bookmarkStart w:id="60" w:name="_Toc212402517"/>
      <w:r>
        <w:rPr>
          <w:rFonts w:hint="eastAsia"/>
        </w:rPr>
        <w:t>一般规定</w:t>
      </w:r>
      <w:bookmarkEnd w:id="59"/>
      <w:bookmarkEnd w:id="60"/>
    </w:p>
    <w:p w14:paraId="7001C5F6">
      <w:pPr>
        <w:pStyle w:val="168"/>
        <w:rPr>
          <w:rFonts w:hint="eastAsia"/>
        </w:rPr>
      </w:pPr>
      <w:r>
        <w:rPr>
          <w:rFonts w:hint="eastAsia"/>
        </w:rPr>
        <w:t>在满足路用性能的前提下，应优先使用工业废料、建筑垃圾等再生材料，</w:t>
      </w:r>
      <w:r>
        <w:t>其质量应符合CJJ/T 154的规定</w:t>
      </w:r>
      <w:r>
        <w:rPr>
          <w:rFonts w:hint="eastAsia"/>
        </w:rPr>
        <w:t>。</w:t>
      </w:r>
    </w:p>
    <w:p w14:paraId="6FF1EC77">
      <w:pPr>
        <w:pStyle w:val="168"/>
      </w:pPr>
      <w:r>
        <w:t>材料选择应按照GB/T 51366评估其生产过程中的能耗与碳排放。</w:t>
      </w:r>
    </w:p>
    <w:p w14:paraId="59B8D295">
      <w:pPr>
        <w:pStyle w:val="168"/>
        <w:rPr>
          <w:rFonts w:hint="eastAsia"/>
        </w:rPr>
      </w:pPr>
      <w:r>
        <w:rPr>
          <w:rFonts w:hint="eastAsia"/>
        </w:rPr>
        <w:t>500km以内具有充足供应量的材料，应作为优先选用对象。</w:t>
      </w:r>
    </w:p>
    <w:p w14:paraId="497B4E7A">
      <w:pPr>
        <w:pStyle w:val="108"/>
        <w:spacing w:before="120" w:after="120"/>
      </w:pPr>
      <w:bookmarkStart w:id="61" w:name="_Toc212403205"/>
      <w:bookmarkStart w:id="62" w:name="_Toc212402518"/>
      <w:r>
        <w:rPr>
          <w:rFonts w:hint="eastAsia"/>
        </w:rPr>
        <w:t>再生材料应用</w:t>
      </w:r>
      <w:bookmarkEnd w:id="61"/>
      <w:bookmarkEnd w:id="62"/>
    </w:p>
    <w:p w14:paraId="60B8B8A1">
      <w:pPr>
        <w:pStyle w:val="168"/>
        <w:rPr>
          <w:rFonts w:hint="eastAsia"/>
        </w:rPr>
      </w:pPr>
      <w:r>
        <w:rPr>
          <w:rFonts w:hint="eastAsia"/>
        </w:rPr>
        <w:t>再生沥青混合料（RAP）的掺配比例应根据路用性能要求确定，且不应低于15%，</w:t>
      </w:r>
      <w:r>
        <w:t>其技术要求应符合GB/T 25878的规定</w:t>
      </w:r>
      <w:r>
        <w:rPr>
          <w:rFonts w:hint="eastAsia"/>
        </w:rPr>
        <w:t>。</w:t>
      </w:r>
    </w:p>
    <w:p w14:paraId="298FDEEB">
      <w:pPr>
        <w:pStyle w:val="168"/>
        <w:rPr>
          <w:rFonts w:hint="eastAsia"/>
        </w:rPr>
      </w:pPr>
      <w:r>
        <w:rPr>
          <w:rFonts w:hint="eastAsia"/>
        </w:rPr>
        <w:t>建筑垃圾再生骨料可用于路面基层、底基层，其压碎值应不大于30%，吸水率应不大于10%，</w:t>
      </w:r>
      <w:r>
        <w:t>其他技术指标应符合CJJ/T 154的规定</w:t>
      </w:r>
      <w:r>
        <w:rPr>
          <w:rFonts w:hint="eastAsia"/>
        </w:rPr>
        <w:t>。</w:t>
      </w:r>
    </w:p>
    <w:p w14:paraId="7B26DFF3">
      <w:pPr>
        <w:pStyle w:val="168"/>
        <w:rPr>
          <w:rFonts w:hint="eastAsia"/>
        </w:rPr>
      </w:pPr>
      <w:r>
        <w:rPr>
          <w:rFonts w:hint="eastAsia"/>
        </w:rPr>
        <w:t>使用橡胶沥青时，胶粉来源宜优先采用废旧轮胎，胶粉掺量应不低于沥青质量的15%，其技术要求应符合JTG F40的相关规定。</w:t>
      </w:r>
    </w:p>
    <w:p w14:paraId="7E7B5454">
      <w:pPr>
        <w:pStyle w:val="108"/>
        <w:spacing w:before="120" w:after="120"/>
      </w:pPr>
      <w:bookmarkStart w:id="63" w:name="_Toc212402519"/>
      <w:bookmarkStart w:id="64" w:name="_Toc212403206"/>
      <w:r>
        <w:rPr>
          <w:rFonts w:hint="eastAsia"/>
        </w:rPr>
        <w:t>低碳胶结料</w:t>
      </w:r>
      <w:bookmarkEnd w:id="63"/>
      <w:bookmarkEnd w:id="64"/>
    </w:p>
    <w:p w14:paraId="36BD78CC">
      <w:pPr>
        <w:pStyle w:val="168"/>
        <w:rPr>
          <w:rFonts w:hint="eastAsia"/>
        </w:rPr>
      </w:pPr>
      <w:r>
        <w:rPr>
          <w:rFonts w:hint="eastAsia"/>
        </w:rPr>
        <w:t>鼓励采用温拌沥青、改性沥青等低碳胶结料，降低拌和与压实温度。</w:t>
      </w:r>
    </w:p>
    <w:p w14:paraId="58B57BC6">
      <w:pPr>
        <w:pStyle w:val="168"/>
      </w:pPr>
      <w:r>
        <w:rPr>
          <w:rFonts w:hint="eastAsia"/>
        </w:rPr>
        <w:t>温拌沥青混合料的拌和温度宜比同类热拌沥青混合料降低20℃~30℃。</w:t>
      </w:r>
    </w:p>
    <w:p w14:paraId="141F1A2E">
      <w:pPr>
        <w:pStyle w:val="108"/>
        <w:spacing w:before="120" w:after="120"/>
      </w:pPr>
      <w:bookmarkStart w:id="65" w:name="_Toc212402520"/>
      <w:bookmarkStart w:id="66" w:name="_Toc212403207"/>
      <w:r>
        <w:rPr>
          <w:rFonts w:hint="eastAsia"/>
        </w:rPr>
        <w:t>新型低碳材料</w:t>
      </w:r>
      <w:bookmarkEnd w:id="65"/>
      <w:bookmarkEnd w:id="66"/>
    </w:p>
    <w:p w14:paraId="6B751F6E">
      <w:pPr>
        <w:pStyle w:val="168"/>
        <w:rPr>
          <w:rFonts w:hint="eastAsia"/>
        </w:rPr>
      </w:pPr>
      <w:r>
        <w:rPr>
          <w:rFonts w:hint="eastAsia"/>
        </w:rPr>
        <w:t>鼓励研发与应用生物沥青、低能耗水泥等新型低碳胶结料。</w:t>
      </w:r>
    </w:p>
    <w:p w14:paraId="6A960E97">
      <w:pPr>
        <w:pStyle w:val="168"/>
        <w:rPr>
          <w:rFonts w:hint="eastAsia"/>
        </w:rPr>
      </w:pPr>
      <w:r>
        <w:rPr>
          <w:rFonts w:hint="eastAsia"/>
        </w:rPr>
        <w:t>在非承重层或低交通量道路，可探索使用工业固废基胶凝材料替代部分水泥，替代率不宜超过30%。</w:t>
      </w:r>
    </w:p>
    <w:p w14:paraId="3F075045">
      <w:pPr>
        <w:pStyle w:val="107"/>
        <w:spacing w:before="240" w:after="240"/>
      </w:pPr>
      <w:bookmarkStart w:id="67" w:name="_Toc212402521"/>
      <w:bookmarkStart w:id="68" w:name="_Toc212403208"/>
      <w:r>
        <w:rPr>
          <w:rFonts w:hint="eastAsia"/>
        </w:rPr>
        <w:t>路面结构设计</w:t>
      </w:r>
      <w:bookmarkEnd w:id="67"/>
      <w:bookmarkEnd w:id="68"/>
    </w:p>
    <w:p w14:paraId="62EAC6E4">
      <w:pPr>
        <w:pStyle w:val="108"/>
        <w:spacing w:before="120" w:after="120"/>
      </w:pPr>
      <w:bookmarkStart w:id="69" w:name="_Toc212403209"/>
      <w:bookmarkStart w:id="70" w:name="_Toc212402522"/>
      <w:r>
        <w:rPr>
          <w:rFonts w:hint="eastAsia"/>
        </w:rPr>
        <w:t>设计原则</w:t>
      </w:r>
      <w:bookmarkEnd w:id="69"/>
      <w:bookmarkEnd w:id="70"/>
    </w:p>
    <w:p w14:paraId="4D213399">
      <w:pPr>
        <w:pStyle w:val="168"/>
        <w:rPr>
          <w:rFonts w:hint="eastAsia"/>
        </w:rPr>
      </w:pPr>
      <w:r>
        <w:rPr>
          <w:rFonts w:hint="eastAsia"/>
        </w:rPr>
        <w:t>在满足JTG D50中交通荷载和设计年限要求下，通过优化结构组合减少材料用量。</w:t>
      </w:r>
    </w:p>
    <w:p w14:paraId="0DC545A8">
      <w:pPr>
        <w:pStyle w:val="168"/>
        <w:rPr>
          <w:rFonts w:hint="eastAsia"/>
        </w:rPr>
      </w:pPr>
      <w:r>
        <w:rPr>
          <w:rFonts w:hint="eastAsia"/>
        </w:rPr>
        <w:t>结构设计应便于后期养护和材料回收。</w:t>
      </w:r>
    </w:p>
    <w:p w14:paraId="0D0CE31B">
      <w:pPr>
        <w:pStyle w:val="168"/>
        <w:rPr>
          <w:rFonts w:hint="eastAsia"/>
        </w:rPr>
      </w:pPr>
      <w:r>
        <w:rPr>
          <w:rFonts w:hint="eastAsia"/>
        </w:rPr>
        <w:t>路面结构组合设计应体现"强基薄面"原则。</w:t>
      </w:r>
    </w:p>
    <w:p w14:paraId="11AA2422">
      <w:pPr>
        <w:pStyle w:val="108"/>
        <w:spacing w:before="120" w:after="120"/>
      </w:pPr>
      <w:bookmarkStart w:id="71" w:name="_Toc212402523"/>
      <w:bookmarkStart w:id="72" w:name="_Toc212403210"/>
      <w:r>
        <w:rPr>
          <w:rFonts w:hint="eastAsia"/>
        </w:rPr>
        <w:t>典型绿色低碳路面结构</w:t>
      </w:r>
      <w:bookmarkEnd w:id="71"/>
      <w:bookmarkEnd w:id="72"/>
    </w:p>
    <w:p w14:paraId="559E5652">
      <w:pPr>
        <w:pStyle w:val="168"/>
        <w:rPr>
          <w:rFonts w:hint="eastAsia"/>
        </w:rPr>
      </w:pPr>
      <w:r>
        <w:rPr>
          <w:rFonts w:hint="eastAsia"/>
        </w:rPr>
        <w:t>提出适用于不同交通等级的典型低碳路面结构组合图示。</w:t>
      </w:r>
    </w:p>
    <w:p w14:paraId="366265E6">
      <w:pPr>
        <w:pStyle w:val="168"/>
        <w:rPr>
          <w:rFonts w:hint="eastAsia"/>
        </w:rPr>
      </w:pPr>
      <w:r>
        <w:rPr>
          <w:rFonts w:hint="eastAsia"/>
        </w:rPr>
        <w:t>明确各结构层推荐使用的再生材料类型及技术参数。</w:t>
      </w:r>
    </w:p>
    <w:p w14:paraId="18409DC4">
      <w:pPr>
        <w:pStyle w:val="168"/>
        <w:rPr>
          <w:rFonts w:hint="eastAsia"/>
        </w:rPr>
      </w:pPr>
      <w:r>
        <w:rPr>
          <w:rFonts w:hint="eastAsia"/>
        </w:rPr>
        <w:t>对于重交通道路，推荐采用高RAP掺量的下面层与高性能新材料上面层相结合的组合结构。</w:t>
      </w:r>
    </w:p>
    <w:p w14:paraId="7A987C91">
      <w:pPr>
        <w:pStyle w:val="108"/>
        <w:spacing w:before="120" w:after="120"/>
      </w:pPr>
      <w:bookmarkStart w:id="73" w:name="_Toc212402524"/>
      <w:bookmarkStart w:id="74" w:name="_Toc212403211"/>
      <w:r>
        <w:rPr>
          <w:rFonts w:hint="eastAsia"/>
        </w:rPr>
        <w:t>长寿命路面结构设计</w:t>
      </w:r>
      <w:bookmarkEnd w:id="73"/>
      <w:bookmarkEnd w:id="74"/>
    </w:p>
    <w:p w14:paraId="3F353B33">
      <w:pPr>
        <w:pStyle w:val="168"/>
        <w:rPr>
          <w:rFonts w:hint="eastAsia"/>
        </w:rPr>
      </w:pPr>
      <w:r>
        <w:rPr>
          <w:rFonts w:hint="eastAsia"/>
        </w:rPr>
        <w:t>通过优化结构组合与材料设计，延长路面大修周期，从源头上减少全生命周期内的材料消耗和碳排放。</w:t>
      </w:r>
    </w:p>
    <w:p w14:paraId="782CF861">
      <w:pPr>
        <w:pStyle w:val="168"/>
        <w:rPr>
          <w:rFonts w:hint="eastAsia"/>
        </w:rPr>
      </w:pPr>
      <w:r>
        <w:rPr>
          <w:rFonts w:hint="eastAsia"/>
        </w:rPr>
        <w:t>长寿命路面各结构层应满足JTG D50中相应的疲劳性能、耐久性和强度指标。</w:t>
      </w:r>
    </w:p>
    <w:p w14:paraId="63CFF6D2">
      <w:pPr>
        <w:pStyle w:val="168"/>
        <w:rPr>
          <w:rFonts w:hint="eastAsia"/>
        </w:rPr>
      </w:pPr>
      <w:r>
        <w:rPr>
          <w:rFonts w:hint="eastAsia"/>
        </w:rPr>
        <w:t>长寿命路面设计基准期应不低于30年。</w:t>
      </w:r>
    </w:p>
    <w:p w14:paraId="284D1CB6">
      <w:pPr>
        <w:pStyle w:val="107"/>
        <w:spacing w:before="240" w:after="240"/>
      </w:pPr>
      <w:bookmarkStart w:id="75" w:name="_Toc212402525"/>
      <w:bookmarkStart w:id="76" w:name="_Toc212403212"/>
      <w:r>
        <w:rPr>
          <w:rFonts w:hint="eastAsia"/>
        </w:rPr>
        <w:t>功能层设计与施工工艺质量控制</w:t>
      </w:r>
      <w:bookmarkEnd w:id="75"/>
      <w:bookmarkEnd w:id="76"/>
    </w:p>
    <w:p w14:paraId="5B962D62">
      <w:pPr>
        <w:pStyle w:val="108"/>
        <w:spacing w:before="120" w:after="120"/>
      </w:pPr>
      <w:bookmarkStart w:id="77" w:name="_Toc212402526"/>
      <w:bookmarkStart w:id="78" w:name="_Toc212403213"/>
      <w:r>
        <w:rPr>
          <w:rFonts w:hint="eastAsia"/>
        </w:rPr>
        <w:t>透水路面设计</w:t>
      </w:r>
      <w:bookmarkEnd w:id="77"/>
      <w:bookmarkEnd w:id="78"/>
    </w:p>
    <w:p w14:paraId="26A2C0BB">
      <w:pPr>
        <w:pStyle w:val="168"/>
        <w:rPr>
          <w:rFonts w:hint="eastAsia"/>
        </w:rPr>
      </w:pPr>
      <w:r>
        <w:rPr>
          <w:rFonts w:hint="eastAsia"/>
        </w:rPr>
        <w:t>明确透水路面的适用区域、结构设计要求及渗透系数指标。</w:t>
      </w:r>
    </w:p>
    <w:p w14:paraId="4CC88134">
      <w:pPr>
        <w:pStyle w:val="168"/>
        <w:rPr>
          <w:rFonts w:hint="eastAsia"/>
        </w:rPr>
      </w:pPr>
      <w:r>
        <w:rPr>
          <w:rFonts w:hint="eastAsia"/>
        </w:rPr>
        <w:t>规定透水路面与雨水收集利用系统的衔接设计要求。</w:t>
      </w:r>
    </w:p>
    <w:p w14:paraId="739B1E3E">
      <w:pPr>
        <w:pStyle w:val="168"/>
        <w:rPr>
          <w:rFonts w:hint="eastAsia"/>
        </w:rPr>
      </w:pPr>
      <w:r>
        <w:rPr>
          <w:rFonts w:hint="eastAsia"/>
        </w:rPr>
        <w:t>透水路面面层的孔隙率应不小于15%，连通孔隙率应不小于10%。</w:t>
      </w:r>
    </w:p>
    <w:p w14:paraId="4F623F58">
      <w:pPr>
        <w:pStyle w:val="108"/>
        <w:spacing w:before="120" w:after="120"/>
      </w:pPr>
      <w:bookmarkStart w:id="79" w:name="_Toc212402527"/>
      <w:bookmarkStart w:id="80" w:name="_Toc212403214"/>
      <w:r>
        <w:rPr>
          <w:rFonts w:hint="eastAsia"/>
        </w:rPr>
        <w:t>降噪路面设计</w:t>
      </w:r>
      <w:bookmarkEnd w:id="79"/>
      <w:bookmarkEnd w:id="80"/>
    </w:p>
    <w:p w14:paraId="77C64D47">
      <w:pPr>
        <w:pStyle w:val="168"/>
        <w:rPr>
          <w:rFonts w:hint="eastAsia"/>
        </w:rPr>
      </w:pPr>
      <w:r>
        <w:rPr>
          <w:rFonts w:hint="eastAsia"/>
        </w:rPr>
        <w:t>规定多孔沥青、橡胶沥青等降噪路面的材料设计与厚度要求。</w:t>
      </w:r>
    </w:p>
    <w:p w14:paraId="0D8F8FD0">
      <w:pPr>
        <w:pStyle w:val="168"/>
        <w:rPr>
          <w:rFonts w:hint="eastAsia"/>
        </w:rPr>
      </w:pPr>
      <w:r>
        <w:rPr>
          <w:rFonts w:hint="eastAsia"/>
        </w:rPr>
        <w:t>明确降噪路面在不同车速下的降噪量指标。</w:t>
      </w:r>
    </w:p>
    <w:p w14:paraId="7B85F66A">
      <w:pPr>
        <w:pStyle w:val="168"/>
        <w:rPr>
          <w:rFonts w:hint="eastAsia"/>
        </w:rPr>
      </w:pPr>
      <w:r>
        <w:rPr>
          <w:rFonts w:hint="eastAsia"/>
        </w:rPr>
        <w:t>多孔沥青路面的孔隙率应控制在18%~22%范围内。</w:t>
      </w:r>
    </w:p>
    <w:p w14:paraId="594CAE76">
      <w:pPr>
        <w:pStyle w:val="108"/>
        <w:spacing w:before="120" w:after="120"/>
      </w:pPr>
      <w:bookmarkStart w:id="81" w:name="_Toc212402528"/>
      <w:bookmarkStart w:id="82" w:name="_Toc212403215"/>
      <w:r>
        <w:rPr>
          <w:rFonts w:hint="eastAsia"/>
        </w:rPr>
        <w:t>低碳施工工艺</w:t>
      </w:r>
      <w:bookmarkEnd w:id="81"/>
      <w:bookmarkEnd w:id="82"/>
    </w:p>
    <w:p w14:paraId="43EF4D30">
      <w:pPr>
        <w:pStyle w:val="168"/>
        <w:rPr>
          <w:rFonts w:hint="eastAsia"/>
        </w:rPr>
      </w:pPr>
      <w:r>
        <w:rPr>
          <w:rFonts w:hint="eastAsia"/>
        </w:rPr>
        <w:t>规定现场冷再生、厂拌热再生等施工工艺的技术要求与质量控制要点。</w:t>
      </w:r>
    </w:p>
    <w:p w14:paraId="4E710181">
      <w:pPr>
        <w:pStyle w:val="168"/>
        <w:rPr>
          <w:rFonts w:hint="eastAsia"/>
        </w:rPr>
      </w:pPr>
      <w:r>
        <w:rPr>
          <w:rFonts w:hint="eastAsia"/>
        </w:rPr>
        <w:t>明确施工过程中的扬尘、噪音、废弃物控制措施。</w:t>
      </w:r>
    </w:p>
    <w:p w14:paraId="69F66D45">
      <w:pPr>
        <w:pStyle w:val="168"/>
        <w:rPr>
          <w:rFonts w:hint="eastAsia"/>
        </w:rPr>
      </w:pPr>
      <w:r>
        <w:rPr>
          <w:rFonts w:hint="eastAsia"/>
        </w:rPr>
        <w:t>热拌再生沥青混合料中RAP料的加热温度应控制在130℃以下。</w:t>
      </w:r>
    </w:p>
    <w:p w14:paraId="319B9E51">
      <w:pPr>
        <w:pStyle w:val="108"/>
        <w:spacing w:before="120" w:after="120"/>
      </w:pPr>
      <w:bookmarkStart w:id="83" w:name="_Toc212403216"/>
      <w:bookmarkStart w:id="84" w:name="_Toc212402529"/>
      <w:r>
        <w:rPr>
          <w:rFonts w:hint="eastAsia"/>
        </w:rPr>
        <w:t>施工过程质量控制与碳排放监测</w:t>
      </w:r>
      <w:bookmarkEnd w:id="83"/>
      <w:bookmarkEnd w:id="84"/>
    </w:p>
    <w:p w14:paraId="38A036FE">
      <w:pPr>
        <w:pStyle w:val="168"/>
        <w:rPr>
          <w:rFonts w:hint="eastAsia"/>
        </w:rPr>
      </w:pPr>
      <w:r>
        <w:rPr>
          <w:rFonts w:hint="eastAsia"/>
        </w:rPr>
        <w:t>规定再生料掺量、温拌沥青出场温度等关键参数的现场检测频率与允许偏差。</w:t>
      </w:r>
    </w:p>
    <w:p w14:paraId="756A77A0">
      <w:pPr>
        <w:pStyle w:val="168"/>
        <w:rPr>
          <w:rFonts w:hint="eastAsia"/>
        </w:rPr>
      </w:pPr>
      <w:r>
        <w:rPr>
          <w:rFonts w:hint="eastAsia"/>
        </w:rPr>
        <w:t>再生沥青混合料中RAP掺量的允许偏差为设计值的±2%。</w:t>
      </w:r>
    </w:p>
    <w:p w14:paraId="79B9EFA3">
      <w:pPr>
        <w:pStyle w:val="168"/>
        <w:rPr>
          <w:rFonts w:hint="eastAsia"/>
        </w:rPr>
      </w:pPr>
      <w:r>
        <w:rPr>
          <w:rFonts w:hint="eastAsia"/>
        </w:rPr>
        <w:t>鼓励在拌和站及施工现场安装能耗与排放监测设备，对施工阶段的碳排放进行实时监控和数据采集。</w:t>
      </w:r>
    </w:p>
    <w:p w14:paraId="7C826DFB">
      <w:pPr>
        <w:pStyle w:val="107"/>
        <w:spacing w:before="240" w:after="240"/>
      </w:pPr>
      <w:bookmarkStart w:id="85" w:name="_Toc212403217"/>
      <w:bookmarkStart w:id="86" w:name="_Toc212402530"/>
      <w:r>
        <w:rPr>
          <w:rFonts w:hint="eastAsia"/>
        </w:rPr>
        <w:t>养护与运营阶段的绿色低碳策略</w:t>
      </w:r>
      <w:bookmarkEnd w:id="85"/>
      <w:bookmarkEnd w:id="86"/>
    </w:p>
    <w:p w14:paraId="201CD4BE">
      <w:pPr>
        <w:pStyle w:val="108"/>
        <w:spacing w:before="120" w:after="120"/>
      </w:pPr>
      <w:bookmarkStart w:id="87" w:name="_Toc212402531"/>
      <w:bookmarkStart w:id="88" w:name="_Toc212403218"/>
      <w:r>
        <w:rPr>
          <w:rFonts w:hint="eastAsia"/>
        </w:rPr>
        <w:t>养护决策支持</w:t>
      </w:r>
      <w:bookmarkEnd w:id="87"/>
      <w:bookmarkEnd w:id="88"/>
    </w:p>
    <w:p w14:paraId="34C1C541">
      <w:pPr>
        <w:pStyle w:val="168"/>
        <w:rPr>
          <w:rFonts w:hint="eastAsia"/>
        </w:rPr>
      </w:pPr>
      <w:r>
        <w:rPr>
          <w:rFonts w:hint="eastAsia"/>
        </w:rPr>
        <w:t>基于路面技术状况评估，优先采用预防性养护策略，延缓路面性能衰变。</w:t>
      </w:r>
    </w:p>
    <w:p w14:paraId="08B918DF">
      <w:pPr>
        <w:pStyle w:val="168"/>
        <w:rPr>
          <w:rFonts w:hint="eastAsia"/>
        </w:rPr>
      </w:pPr>
      <w:r>
        <w:rPr>
          <w:rFonts w:hint="eastAsia"/>
        </w:rPr>
        <w:t>建立考虑环境效益的养护方案比选模型。</w:t>
      </w:r>
    </w:p>
    <w:p w14:paraId="3A6DB3C2">
      <w:pPr>
        <w:pStyle w:val="168"/>
        <w:rPr>
          <w:rFonts w:hint="eastAsia"/>
        </w:rPr>
      </w:pPr>
      <w:r>
        <w:rPr>
          <w:rFonts w:hint="eastAsia"/>
        </w:rPr>
        <w:t>当路面损坏指数（PCI）下降至85时，应启动预防性养护方案决策。</w:t>
      </w:r>
    </w:p>
    <w:p w14:paraId="59200359">
      <w:pPr>
        <w:pStyle w:val="108"/>
        <w:spacing w:before="120" w:after="120"/>
      </w:pPr>
      <w:bookmarkStart w:id="89" w:name="_Toc212402532"/>
      <w:bookmarkStart w:id="90" w:name="_Toc212403219"/>
      <w:r>
        <w:rPr>
          <w:rFonts w:hint="eastAsia"/>
        </w:rPr>
        <w:t>低碳养护技术应用</w:t>
      </w:r>
      <w:bookmarkEnd w:id="89"/>
      <w:bookmarkEnd w:id="90"/>
    </w:p>
    <w:p w14:paraId="0F32F66D">
      <w:pPr>
        <w:pStyle w:val="168"/>
        <w:rPr>
          <w:rFonts w:hint="eastAsia"/>
        </w:rPr>
      </w:pPr>
      <w:r>
        <w:rPr>
          <w:rFonts w:hint="eastAsia"/>
        </w:rPr>
        <w:t>列出适用于不同损坏类型的低碳养护技术，如微表处、超薄磨耗层、各类就地再生技术（冷再生、热再生）。</w:t>
      </w:r>
    </w:p>
    <w:p w14:paraId="31246DAB">
      <w:pPr>
        <w:pStyle w:val="168"/>
        <w:rPr>
          <w:rFonts w:hint="eastAsia"/>
        </w:rPr>
      </w:pPr>
      <w:r>
        <w:rPr>
          <w:rFonts w:hint="eastAsia"/>
        </w:rPr>
        <w:t>规定各养护技术的适用条件、技术要求和预期减排效果。</w:t>
      </w:r>
    </w:p>
    <w:p w14:paraId="74358AD7">
      <w:pPr>
        <w:pStyle w:val="168"/>
        <w:rPr>
          <w:rFonts w:hint="eastAsia"/>
        </w:rPr>
      </w:pPr>
      <w:r>
        <w:rPr>
          <w:rFonts w:hint="eastAsia"/>
        </w:rPr>
        <w:t>微表处处治厚度应为5mm~15mm，超薄磨耗层厚度应为15mm~25mm。</w:t>
      </w:r>
    </w:p>
    <w:p w14:paraId="3D066D05">
      <w:pPr>
        <w:pStyle w:val="107"/>
        <w:spacing w:before="240" w:after="240"/>
      </w:pPr>
      <w:bookmarkStart w:id="91" w:name="_Toc212403220"/>
      <w:bookmarkStart w:id="92" w:name="_Toc212402533"/>
      <w:r>
        <w:rPr>
          <w:rFonts w:hint="eastAsia"/>
        </w:rPr>
        <w:t>协同设计与性能平衡</w:t>
      </w:r>
      <w:bookmarkEnd w:id="91"/>
      <w:bookmarkEnd w:id="92"/>
    </w:p>
    <w:p w14:paraId="06BBEEA6">
      <w:pPr>
        <w:pStyle w:val="108"/>
        <w:spacing w:before="120" w:after="120"/>
      </w:pPr>
      <w:bookmarkStart w:id="93" w:name="_Toc212402534"/>
      <w:bookmarkStart w:id="94" w:name="_Toc212403221"/>
      <w:r>
        <w:rPr>
          <w:rFonts w:hint="eastAsia"/>
        </w:rPr>
        <w:t>多专业协同</w:t>
      </w:r>
      <w:bookmarkEnd w:id="93"/>
      <w:bookmarkEnd w:id="94"/>
    </w:p>
    <w:p w14:paraId="450E4F1C">
      <w:pPr>
        <w:pStyle w:val="168"/>
        <w:rPr>
          <w:rFonts w:hint="eastAsia"/>
        </w:rPr>
      </w:pPr>
      <w:r>
        <w:rPr>
          <w:rFonts w:hint="eastAsia"/>
        </w:rPr>
        <w:t>要求路面设计与排水、景观、照明、交通工程等专业进行协同，确保透水、降噪等功能的有效实现。</w:t>
      </w:r>
    </w:p>
    <w:p w14:paraId="0E3E7A27">
      <w:pPr>
        <w:pStyle w:val="168"/>
        <w:rPr>
          <w:rFonts w:hint="eastAsia"/>
        </w:rPr>
      </w:pPr>
      <w:r>
        <w:rPr>
          <w:rFonts w:hint="eastAsia"/>
        </w:rPr>
        <w:t>9.1.2 透水路面设计应与道路纵坡、横坡设计相协调，确保排水路径通畅。</w:t>
      </w:r>
    </w:p>
    <w:p w14:paraId="65463680">
      <w:pPr>
        <w:pStyle w:val="108"/>
        <w:spacing w:before="120" w:after="120"/>
      </w:pPr>
      <w:bookmarkStart w:id="95" w:name="_Toc212402535"/>
      <w:bookmarkStart w:id="96" w:name="_Toc212403222"/>
      <w:r>
        <w:rPr>
          <w:rFonts w:hint="eastAsia"/>
        </w:rPr>
        <w:t>性能平衡与优化</w:t>
      </w:r>
      <w:bookmarkEnd w:id="95"/>
      <w:bookmarkEnd w:id="96"/>
    </w:p>
    <w:p w14:paraId="27BA29CF">
      <w:pPr>
        <w:pStyle w:val="168"/>
        <w:rPr>
          <w:rFonts w:hint="eastAsia"/>
        </w:rPr>
      </w:pPr>
      <w:r>
        <w:rPr>
          <w:rFonts w:hint="eastAsia"/>
        </w:rPr>
        <w:t>当绿色低碳目标与结构安全、抗滑、平整度等传统性能要求冲突时，应通过技术经济环境综合分析确定优化方案。</w:t>
      </w:r>
    </w:p>
    <w:p w14:paraId="2BE2BA4D">
      <w:pPr>
        <w:pStyle w:val="168"/>
        <w:rPr>
          <w:rFonts w:hint="eastAsia"/>
        </w:rPr>
      </w:pPr>
      <w:r>
        <w:rPr>
          <w:rFonts w:hint="eastAsia"/>
        </w:rPr>
        <w:t>9.2.2 提供性能平衡的决策流程和关键考量因素。</w:t>
      </w:r>
    </w:p>
    <w:p w14:paraId="64558DEE">
      <w:pPr>
        <w:pStyle w:val="168"/>
        <w:rPr>
          <w:rFonts w:hint="eastAsia"/>
        </w:rPr>
      </w:pPr>
      <w:r>
        <w:rPr>
          <w:rFonts w:hint="eastAsia"/>
        </w:rPr>
        <w:t>9.2.3 在保证结构安全的前提下，可适当调整面层厚度，通过增强基层强度进行补偿。</w:t>
      </w:r>
    </w:p>
    <w:p w14:paraId="5456938B">
      <w:pPr>
        <w:pStyle w:val="107"/>
        <w:spacing w:before="240" w:after="240"/>
      </w:pPr>
      <w:bookmarkStart w:id="97" w:name="_Toc212403223"/>
      <w:bookmarkStart w:id="98" w:name="_Toc212402536"/>
      <w:r>
        <w:rPr>
          <w:rFonts w:hint="eastAsia"/>
        </w:rPr>
        <w:t>环境效益评估与碳核算</w:t>
      </w:r>
      <w:bookmarkEnd w:id="97"/>
      <w:bookmarkEnd w:id="98"/>
    </w:p>
    <w:p w14:paraId="7ED507AA">
      <w:pPr>
        <w:pStyle w:val="108"/>
        <w:spacing w:before="120" w:after="120"/>
      </w:pPr>
      <w:bookmarkStart w:id="99" w:name="_Toc212402537"/>
      <w:bookmarkStart w:id="100" w:name="_Toc212403224"/>
      <w:r>
        <w:rPr>
          <w:rFonts w:hint="eastAsia"/>
        </w:rPr>
        <w:t>评估内容</w:t>
      </w:r>
      <w:bookmarkEnd w:id="99"/>
      <w:bookmarkEnd w:id="100"/>
    </w:p>
    <w:p w14:paraId="7AA76189">
      <w:pPr>
        <w:pStyle w:val="168"/>
        <w:rPr>
          <w:rFonts w:hint="eastAsia"/>
        </w:rPr>
      </w:pPr>
      <w:r>
        <w:rPr>
          <w:rFonts w:hint="eastAsia"/>
        </w:rPr>
        <w:t>应对设计方案进行全生命周期环境影响定性分析。</w:t>
      </w:r>
    </w:p>
    <w:p w14:paraId="0E49C16D">
      <w:pPr>
        <w:pStyle w:val="168"/>
        <w:rPr>
          <w:rFonts w:hint="eastAsia"/>
        </w:rPr>
      </w:pPr>
      <w:r>
        <w:rPr>
          <w:rFonts w:hint="eastAsia"/>
        </w:rPr>
        <w:t>重点评估其在节约原材料、减少废弃物、降低能源消耗等方面的效益。</w:t>
      </w:r>
    </w:p>
    <w:p w14:paraId="2B9FEFAB">
      <w:pPr>
        <w:pStyle w:val="108"/>
        <w:spacing w:before="120" w:after="120"/>
      </w:pPr>
      <w:bookmarkStart w:id="101" w:name="_Toc212403225"/>
      <w:bookmarkStart w:id="102" w:name="_Toc212402538"/>
      <w:r>
        <w:rPr>
          <w:rFonts w:hint="eastAsia"/>
        </w:rPr>
        <w:t>碳核算方法</w:t>
      </w:r>
      <w:bookmarkEnd w:id="101"/>
      <w:bookmarkEnd w:id="102"/>
    </w:p>
    <w:p w14:paraId="06207C87">
      <w:pPr>
        <w:pStyle w:val="168"/>
        <w:rPr>
          <w:rFonts w:hint="eastAsia"/>
        </w:rPr>
      </w:pPr>
      <w:r>
        <w:rPr>
          <w:rFonts w:hint="eastAsia"/>
        </w:rPr>
        <w:t>规定路面工程全生命周期碳排放的核算边界和范围。</w:t>
      </w:r>
    </w:p>
    <w:p w14:paraId="2756022A">
      <w:pPr>
        <w:pStyle w:val="168"/>
        <w:rPr>
          <w:rFonts w:hint="eastAsia"/>
        </w:rPr>
      </w:pPr>
      <w:r>
        <w:rPr>
          <w:rFonts w:hint="eastAsia"/>
        </w:rPr>
        <w:t>提供主要材料（如沥青、水泥、再生料）和施工过程的碳排放因子参考值及核算方法。</w:t>
      </w:r>
    </w:p>
    <w:p w14:paraId="6FF6EEF6">
      <w:pPr>
        <w:pStyle w:val="168"/>
        <w:rPr>
          <w:rFonts w:hint="eastAsia"/>
        </w:rPr>
      </w:pPr>
      <w:r>
        <w:rPr>
          <w:rFonts w:hint="eastAsia"/>
        </w:rPr>
        <w:t>碳核算应覆盖原材料获取、交通运输、拌和、摊铺、压实以及预计的养护活动。</w:t>
      </w:r>
    </w:p>
    <w:p w14:paraId="6F688DC8">
      <w:pPr>
        <w:pStyle w:val="108"/>
        <w:spacing w:before="120" w:after="120"/>
      </w:pPr>
      <w:bookmarkStart w:id="103" w:name="_Toc212402539"/>
      <w:bookmarkStart w:id="104" w:name="_Toc212403226"/>
      <w:r>
        <w:rPr>
          <w:rFonts w:hint="eastAsia"/>
        </w:rPr>
        <w:t>减排效果评估</w:t>
      </w:r>
      <w:bookmarkEnd w:id="103"/>
      <w:bookmarkEnd w:id="104"/>
    </w:p>
    <w:p w14:paraId="7BF16138">
      <w:pPr>
        <w:pStyle w:val="168"/>
        <w:rPr>
          <w:rFonts w:hint="eastAsia"/>
        </w:rPr>
      </w:pPr>
      <w:r>
        <w:rPr>
          <w:rFonts w:hint="eastAsia"/>
        </w:rPr>
        <w:t>要求将绿色低碳设计方案的碳排放量与基准方案（传统设计方案）进行对比。</w:t>
      </w:r>
    </w:p>
    <w:p w14:paraId="0BC7BE26">
      <w:pPr>
        <w:pStyle w:val="168"/>
        <w:rPr>
          <w:rFonts w:hint="eastAsia"/>
        </w:rPr>
      </w:pPr>
      <w:r>
        <w:rPr>
          <w:rFonts w:hint="eastAsia"/>
        </w:rPr>
        <w:t>计算单位面积路面的碳排放削减率，并作为设计效果的评价指标之一。</w:t>
      </w:r>
    </w:p>
    <w:p w14:paraId="0C65E756">
      <w:pPr>
        <w:pStyle w:val="108"/>
        <w:spacing w:before="120" w:after="120"/>
      </w:pPr>
      <w:bookmarkStart w:id="105" w:name="_Toc212402540"/>
      <w:bookmarkStart w:id="106" w:name="_Toc212403227"/>
      <w:r>
        <w:rPr>
          <w:rFonts w:hint="eastAsia"/>
        </w:rPr>
        <w:t>生态影响评估</w:t>
      </w:r>
      <w:bookmarkEnd w:id="105"/>
      <w:bookmarkEnd w:id="106"/>
    </w:p>
    <w:p w14:paraId="4E79E842">
      <w:pPr>
        <w:pStyle w:val="168"/>
        <w:rPr>
          <w:rFonts w:hint="eastAsia"/>
        </w:rPr>
      </w:pPr>
      <w:r>
        <w:rPr>
          <w:rFonts w:hint="eastAsia"/>
        </w:rPr>
        <w:t>评估透水路面对城市热岛效应的缓解作用及对地下水补给的有效性。</w:t>
      </w:r>
    </w:p>
    <w:p w14:paraId="35D013E7">
      <w:pPr>
        <w:pStyle w:val="168"/>
        <w:rPr>
          <w:rFonts w:hint="eastAsia"/>
        </w:rPr>
      </w:pPr>
      <w:r>
        <w:rPr>
          <w:rFonts w:hint="eastAsia"/>
        </w:rPr>
        <w:t>评估项目对周边生态环境（如噪音、空气颗粒物）的改善效果。</w:t>
      </w:r>
    </w:p>
    <w:p w14:paraId="4326C2D4">
      <w:pPr>
        <w:pStyle w:val="168"/>
        <w:rPr>
          <w:rFonts w:hint="eastAsia"/>
        </w:rPr>
      </w:pPr>
      <w:r>
        <w:rPr>
          <w:rFonts w:hint="eastAsia"/>
        </w:rPr>
        <w:t>透水路面对地表径流的削减率应不小于70%。</w:t>
      </w:r>
    </w:p>
    <w:p w14:paraId="28030232">
      <w:pPr>
        <w:pStyle w:val="107"/>
        <w:spacing w:before="240" w:after="240"/>
      </w:pPr>
      <w:bookmarkStart w:id="107" w:name="_Toc212403228"/>
      <w:bookmarkStart w:id="108" w:name="_Toc212402541"/>
      <w:r>
        <w:rPr>
          <w:rFonts w:hint="eastAsia"/>
        </w:rPr>
        <w:t>设计文件编制要求</w:t>
      </w:r>
      <w:bookmarkEnd w:id="107"/>
      <w:bookmarkEnd w:id="108"/>
    </w:p>
    <w:p w14:paraId="77814B3C">
      <w:pPr>
        <w:pStyle w:val="165"/>
        <w:rPr>
          <w:rFonts w:hint="eastAsia"/>
        </w:rPr>
      </w:pPr>
      <w:r>
        <w:rPr>
          <w:rFonts w:hint="eastAsia"/>
        </w:rPr>
        <w:t>绿色低碳路面设计应形成独立篇章或专篇，纳入项目整体设计文件。</w:t>
      </w:r>
    </w:p>
    <w:p w14:paraId="2C25BFB6">
      <w:pPr>
        <w:pStyle w:val="165"/>
      </w:pPr>
      <w:r>
        <w:rPr>
          <w:rFonts w:hint="eastAsia"/>
        </w:rPr>
        <w:t>设计文件应包含以下内容：</w:t>
      </w:r>
    </w:p>
    <w:p w14:paraId="7FF4BF8D">
      <w:pPr>
        <w:pStyle w:val="177"/>
        <w:rPr>
          <w:rFonts w:hint="eastAsia"/>
        </w:rPr>
      </w:pPr>
      <w:r>
        <w:rPr>
          <w:rFonts w:hint="eastAsia"/>
        </w:rPr>
        <w:t>绿色低碳设计目标与技术路线；</w:t>
      </w:r>
    </w:p>
    <w:p w14:paraId="6B658B9E">
      <w:pPr>
        <w:pStyle w:val="177"/>
        <w:rPr>
          <w:rFonts w:hint="eastAsia"/>
        </w:rPr>
      </w:pPr>
      <w:r>
        <w:rPr>
          <w:rFonts w:hint="eastAsia"/>
        </w:rPr>
        <w:t>再生材料种类、用量及来源；</w:t>
      </w:r>
    </w:p>
    <w:p w14:paraId="31AA0EEE">
      <w:pPr>
        <w:pStyle w:val="177"/>
        <w:rPr>
          <w:rFonts w:hint="eastAsia"/>
        </w:rPr>
      </w:pPr>
      <w:r>
        <w:rPr>
          <w:rFonts w:hint="eastAsia"/>
        </w:rPr>
        <w:t>采用的低碳技术与工艺说明；</w:t>
      </w:r>
    </w:p>
    <w:p w14:paraId="640B94E7">
      <w:pPr>
        <w:pStyle w:val="177"/>
        <w:rPr>
          <w:rFonts w:hint="eastAsia"/>
        </w:rPr>
      </w:pPr>
      <w:r>
        <w:rPr>
          <w:rFonts w:hint="eastAsia"/>
        </w:rPr>
        <w:t>环境效益与碳核算分析报告；</w:t>
      </w:r>
    </w:p>
    <w:p w14:paraId="2B5C56F5">
      <w:pPr>
        <w:pStyle w:val="177"/>
        <w:rPr>
          <w:rFonts w:hint="eastAsia"/>
        </w:rPr>
      </w:pPr>
      <w:r>
        <w:rPr>
          <w:rFonts w:hint="eastAsia"/>
        </w:rPr>
        <w:t>施工与运营阶段的环保保障措施；</w:t>
      </w:r>
    </w:p>
    <w:p w14:paraId="1080C435">
      <w:pPr>
        <w:pStyle w:val="177"/>
        <w:rPr>
          <w:rFonts w:hint="eastAsia"/>
        </w:rPr>
      </w:pPr>
      <w:r>
        <w:rPr>
          <w:rFonts w:hint="eastAsia"/>
        </w:rPr>
        <w:t>全生命周期养护规划建议；</w:t>
      </w:r>
    </w:p>
    <w:p w14:paraId="10635BD2">
      <w:pPr>
        <w:pStyle w:val="177"/>
      </w:pPr>
      <w:r>
        <w:rPr>
          <w:rFonts w:hint="eastAsia"/>
        </w:rPr>
        <w:t>协同设计过程说明。</w:t>
      </w:r>
    </w:p>
    <w:p w14:paraId="69234647">
      <w:pPr>
        <w:pStyle w:val="107"/>
        <w:spacing w:before="240" w:after="240"/>
      </w:pPr>
      <w:bookmarkStart w:id="109" w:name="_Toc212403229"/>
      <w:r>
        <w:rPr>
          <w:rFonts w:hint="eastAsia"/>
        </w:rPr>
        <w:t>实施管理与绩效评价</w:t>
      </w:r>
      <w:bookmarkEnd w:id="109"/>
    </w:p>
    <w:p w14:paraId="10BA968F">
      <w:pPr>
        <w:pStyle w:val="108"/>
        <w:spacing w:before="120" w:after="120"/>
      </w:pPr>
      <w:bookmarkStart w:id="110" w:name="_Toc212403230"/>
      <w:r>
        <w:rPr>
          <w:rFonts w:hint="eastAsia"/>
        </w:rPr>
        <w:t>管理职责与流程</w:t>
      </w:r>
      <w:bookmarkEnd w:id="110"/>
    </w:p>
    <w:p w14:paraId="11718C2E">
      <w:pPr>
        <w:pStyle w:val="168"/>
        <w:rPr>
          <w:rFonts w:hint="eastAsia"/>
        </w:rPr>
      </w:pPr>
      <w:r>
        <w:rPr>
          <w:rFonts w:hint="eastAsia"/>
        </w:rPr>
        <w:t>建设单位应组织建立绿色低碳路面设计专项工作组，工作组应包含设计、施工、监理及环保专业技术人员。</w:t>
      </w:r>
    </w:p>
    <w:p w14:paraId="4C1B7768">
      <w:pPr>
        <w:pStyle w:val="168"/>
        <w:rPr>
          <w:rFonts w:hint="eastAsia"/>
        </w:rPr>
      </w:pPr>
      <w:r>
        <w:rPr>
          <w:rFonts w:hint="eastAsia"/>
        </w:rPr>
        <w:t>设计单位应在方案设计、初步设计、施工图设计各阶段，分别编制绿色低碳设计专项说明，并按照GB/T 50378的相关要求进行自评。</w:t>
      </w:r>
    </w:p>
    <w:p w14:paraId="11618B73">
      <w:pPr>
        <w:pStyle w:val="168"/>
        <w:rPr>
          <w:rFonts w:hint="eastAsia"/>
        </w:rPr>
      </w:pPr>
      <w:r>
        <w:rPr>
          <w:rFonts w:hint="eastAsia"/>
        </w:rPr>
        <w:t>施工图审查机构应将绿色低碳设计内容纳入审查范围，对不符合本规范强制性条文的设计文件不予通过。</w:t>
      </w:r>
    </w:p>
    <w:p w14:paraId="2FB34DF4">
      <w:pPr>
        <w:pStyle w:val="108"/>
        <w:spacing w:before="120" w:after="120"/>
      </w:pPr>
      <w:bookmarkStart w:id="111" w:name="_Toc212403231"/>
      <w:r>
        <w:rPr>
          <w:rFonts w:hint="eastAsia"/>
        </w:rPr>
        <w:t>过程控制要求</w:t>
      </w:r>
      <w:bookmarkEnd w:id="111"/>
    </w:p>
    <w:p w14:paraId="1D2D7E5B">
      <w:pPr>
        <w:pStyle w:val="168"/>
        <w:rPr>
          <w:rFonts w:hint="eastAsia"/>
        </w:rPr>
      </w:pPr>
      <w:r>
        <w:rPr>
          <w:rFonts w:hint="eastAsia"/>
        </w:rPr>
        <w:t>材料采购阶段，应要求供应商提供主要材料（包括再生材料）的碳足迹核查报告，核查报告应由具备资质的第三方机构出具。</w:t>
      </w:r>
    </w:p>
    <w:p w14:paraId="75551F4E">
      <w:pPr>
        <w:pStyle w:val="168"/>
        <w:rPr>
          <w:rFonts w:hint="eastAsia"/>
        </w:rPr>
      </w:pPr>
      <w:r>
        <w:rPr>
          <w:rFonts w:hint="eastAsia"/>
        </w:rPr>
        <w:t>施工阶段，施工单位应按照本规范第7.4条要求，建立碳排放监测台账，监测数据应至少每月向建设单位报送一次。</w:t>
      </w:r>
    </w:p>
    <w:p w14:paraId="1B49BE18">
      <w:pPr>
        <w:pStyle w:val="168"/>
        <w:rPr>
          <w:rFonts w:hint="eastAsia"/>
        </w:rPr>
      </w:pPr>
      <w:r>
        <w:rPr>
          <w:rFonts w:hint="eastAsia"/>
        </w:rPr>
        <w:t>竣工验收阶段，应将绿色低碳设计实施情况纳入专项验收内容，验收报告应包含实际采用的再生材料用量、碳排放监测结果与设计目标的符合性分析。</w:t>
      </w:r>
    </w:p>
    <w:p w14:paraId="5263472F">
      <w:pPr>
        <w:pStyle w:val="108"/>
        <w:spacing w:before="120" w:after="120"/>
      </w:pPr>
      <w:bookmarkStart w:id="112" w:name="_Toc212403232"/>
      <w:r>
        <w:rPr>
          <w:rFonts w:hint="eastAsia"/>
        </w:rPr>
        <w:t>绩效评价指标</w:t>
      </w:r>
      <w:bookmarkEnd w:id="112"/>
    </w:p>
    <w:p w14:paraId="59006C2B">
      <w:pPr>
        <w:pStyle w:val="168"/>
        <w:rPr>
          <w:rFonts w:hint="eastAsia"/>
        </w:rPr>
      </w:pPr>
      <w:r>
        <w:rPr>
          <w:rFonts w:hint="eastAsia"/>
        </w:rPr>
        <w:t>设置以下核心绩效指标进行量化评价：</w:t>
      </w:r>
    </w:p>
    <w:p w14:paraId="4B3D61D1">
      <w:pPr>
        <w:pStyle w:val="177"/>
        <w:numPr>
          <w:ilvl w:val="0"/>
          <w:numId w:val="32"/>
        </w:numPr>
      </w:pPr>
      <w:r>
        <w:rPr>
          <w:rFonts w:hint="eastAsia"/>
        </w:rPr>
        <w:t>单位面积路面碳排放强度（</w:t>
      </w:r>
      <w:r>
        <w:t>kgCO₂e/m²</w:t>
      </w:r>
      <w:r>
        <w:rPr>
          <w:rFonts w:hint="eastAsia"/>
        </w:rPr>
        <w:t>）；</w:t>
      </w:r>
    </w:p>
    <w:p w14:paraId="0CDE68C5">
      <w:pPr>
        <w:pStyle w:val="177"/>
        <w:numPr>
          <w:ilvl w:val="0"/>
          <w:numId w:val="32"/>
        </w:numPr>
        <w:rPr>
          <w:rFonts w:hint="eastAsia"/>
        </w:rPr>
      </w:pPr>
      <w:r>
        <w:rPr>
          <w:rFonts w:hint="eastAsia"/>
        </w:rPr>
        <w:t>再生材料综合利用率（%）；</w:t>
      </w:r>
    </w:p>
    <w:p w14:paraId="4B65F8E0">
      <w:pPr>
        <w:pStyle w:val="177"/>
        <w:numPr>
          <w:ilvl w:val="0"/>
          <w:numId w:val="32"/>
        </w:numPr>
        <w:rPr>
          <w:rFonts w:hint="eastAsia"/>
        </w:rPr>
      </w:pPr>
      <w:r>
        <w:rPr>
          <w:rFonts w:hint="eastAsia"/>
        </w:rPr>
        <w:t>与传统方案相比的碳减排率（%）；</w:t>
      </w:r>
    </w:p>
    <w:p w14:paraId="220982C4">
      <w:pPr>
        <w:pStyle w:val="177"/>
        <w:numPr>
          <w:ilvl w:val="0"/>
          <w:numId w:val="32"/>
        </w:numPr>
        <w:rPr>
          <w:rFonts w:hint="eastAsia"/>
        </w:rPr>
      </w:pPr>
      <w:r>
        <w:rPr>
          <w:rFonts w:hint="eastAsia"/>
        </w:rPr>
        <w:t>透水路面面积占比（%）；</w:t>
      </w:r>
    </w:p>
    <w:p w14:paraId="69AC8596">
      <w:pPr>
        <w:pStyle w:val="177"/>
        <w:numPr>
          <w:ilvl w:val="0"/>
          <w:numId w:val="32"/>
        </w:numPr>
      </w:pPr>
      <w:r>
        <w:rPr>
          <w:rFonts w:hint="eastAsia"/>
        </w:rPr>
        <w:t>全生命周期预估养护成本降低率（%）。</w:t>
      </w:r>
    </w:p>
    <w:p w14:paraId="38C1184D">
      <w:pPr>
        <w:pStyle w:val="168"/>
      </w:pPr>
      <w:r>
        <w:rPr>
          <w:rFonts w:hint="eastAsia"/>
        </w:rPr>
        <w:t>绩效评价应以项目竣工后一年内的实际运行数据为基础，结合设计阶段的全生命周期评估结果进行综合评定。</w:t>
      </w:r>
    </w:p>
    <w:p w14:paraId="77160C07">
      <w:pPr>
        <w:pStyle w:val="108"/>
        <w:spacing w:before="120" w:after="120"/>
      </w:pPr>
      <w:bookmarkStart w:id="113" w:name="_Toc212403233"/>
      <w:r>
        <w:rPr>
          <w:rFonts w:hint="eastAsia"/>
        </w:rPr>
        <w:t>持续改进机制</w:t>
      </w:r>
      <w:bookmarkEnd w:id="113"/>
    </w:p>
    <w:p w14:paraId="623C4E8B">
      <w:pPr>
        <w:pStyle w:val="168"/>
        <w:rPr>
          <w:rFonts w:hint="eastAsia"/>
        </w:rPr>
      </w:pPr>
      <w:r>
        <w:rPr>
          <w:rFonts w:hint="eastAsia"/>
        </w:rPr>
        <w:t>项目运营单位应建立绿色低碳绩效年度评估制度，评估结果作为后续养护决策和新建项目设计的改进依据。</w:t>
      </w:r>
    </w:p>
    <w:p w14:paraId="3E9E2288">
      <w:pPr>
        <w:pStyle w:val="168"/>
        <w:rPr>
          <w:rFonts w:hint="eastAsia"/>
        </w:rPr>
      </w:pPr>
      <w:r>
        <w:rPr>
          <w:rFonts w:hint="eastAsia"/>
        </w:rPr>
        <w:t>鼓励建设单位和设计单位建立绿色低碳路面工程项目后评估数据库，通过数据积累和分析，持续优化设计方案和施工工艺。</w:t>
      </w:r>
    </w:p>
    <w:p w14:paraId="190615B5">
      <w:pPr>
        <w:pStyle w:val="168"/>
        <w:rPr>
          <w:rFonts w:hint="eastAsia"/>
        </w:rPr>
      </w:pPr>
      <w:r>
        <w:rPr>
          <w:rFonts w:hint="eastAsia"/>
        </w:rPr>
        <w:t>当绩效评价结果未达到设计目标时，应分析原因并制定改进措施，在后续养护工程中予以落实。</w:t>
      </w:r>
    </w:p>
    <w:bookmarkEnd w:id="7"/>
    <w:p w14:paraId="6AA23DD7">
      <w:pPr>
        <w:pStyle w:val="226"/>
        <w:numPr>
          <w:ilvl w:val="0"/>
          <w:numId w:val="0"/>
        </w:numPr>
        <w:ind w:left="420"/>
      </w:pPr>
      <w:bookmarkStart w:id="114" w:name="_Toc30049"/>
      <w:bookmarkEnd w:id="114"/>
      <w:bookmarkStart w:id="115" w:name="_Toc18256"/>
      <w:bookmarkEnd w:id="115"/>
      <w:bookmarkStart w:id="116" w:name="_Toc13894"/>
      <w:bookmarkEnd w:id="116"/>
      <w:r>
        <w:t>_________________________________</w:t>
      </w:r>
    </w:p>
    <w:sectPr>
      <w:footerReference r:id="rId14" w:type="default"/>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53FD">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3A44D7CB">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5B2C">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B26E">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BF41">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B07DA3">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FEE">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646A">
    <w:pPr>
      <w:pStyle w:val="64"/>
      <w:wordWrap w:val="0"/>
      <w:rPr>
        <w:rFonts w:hint="eastAsia"/>
      </w:rPr>
    </w:pPr>
    <w:r>
      <w:rPr>
        <w:rFonts w:hint="eastAsia"/>
      </w:rPr>
      <w:t>T/CI 351-2024</w:t>
    </w:r>
  </w:p>
  <w:p w14:paraId="3C6503F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CF55">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F20B">
    <w:pPr>
      <w:pStyle w:val="64"/>
      <w:rPr>
        <w:rFonts w:hint="eastAsia"/>
        <w:szCs w:val="21"/>
      </w:rPr>
    </w:pPr>
    <w:r>
      <w:rPr>
        <w:rFonts w:hint="eastAsia" w:hAnsi="黑体" w:cs="黑体"/>
        <w:szCs w:val="21"/>
      </w:rPr>
      <w:t>T/CWDPA 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0C6D">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04AC"/>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CE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B3D"/>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005"/>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26E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76"/>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1D0"/>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396"/>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BB96A4F"/>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wordWrap w:val="0"/>
      <w:ind w:left="420" w:hanging="420" w:hangingChars="20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3990</Words>
  <Characters>4515</Characters>
  <Lines>51</Lines>
  <Paragraphs>14</Paragraphs>
  <TotalTime>48</TotalTime>
  <ScaleCrop>false</ScaleCrop>
  <LinksUpToDate>false</LinksUpToDate>
  <CharactersWithSpaces>4735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2025-10-26T11:47:00Z</dcterms:created>
  <dc:creator>ZHH</dc:creator>
  <cp:lastModifiedBy>王甜蜜</cp:lastModifiedBy>
  <cp:lastPrinted>2025-01-06T08:01:00Z</cp:lastPrinted>
  <dcterms:modified xsi:type="dcterms:W3CDTF">2025-10-26T12:36:14Z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eyJoZGlkIjoiMzEwNTM5NzYwMDRjMzkwZTVkZjY2ODkwMGIxNGU0OTUiLCJ1c2VySWQiOiI1OTM0Mzk3OTEifQ==</vt:lpwstr>
  </property>
</Properties>
</file>