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3180"/>
      <w:bookmarkStart w:id="3" w:name="_Toc298937100"/>
      <w:bookmarkStart w:id="4" w:name="_Toc309994551"/>
      <w:bookmarkStart w:id="5" w:name="_Toc298938783"/>
      <w:bookmarkStart w:id="6" w:name="_Toc310002637"/>
      <w:bookmarkStart w:id="7" w:name="_Toc298937609"/>
      <w:bookmarkStart w:id="8" w:name="_Toc499110426"/>
      <w:bookmarkStart w:id="9" w:name="_Toc298936924"/>
      <w:bookmarkStart w:id="10" w:name="_Toc298936801"/>
      <w:bookmarkStart w:id="11" w:name="_Toc298937357"/>
      <w:bookmarkStart w:id="12" w:name="_Toc298937276"/>
      <w:bookmarkStart w:id="13" w:name="_Toc304824969"/>
      <w:bookmarkStart w:id="14" w:name="_Toc298937167"/>
      <w:bookmarkStart w:id="15" w:name="_Toc298937152"/>
      <w:bookmarkStart w:id="16" w:name="_Toc309995578"/>
      <w:bookmarkStart w:id="17" w:name="_Toc298938635"/>
      <w:bookmarkStart w:id="18" w:name="_Toc304828066"/>
      <w:bookmarkStart w:id="19" w:name="_Toc304402664"/>
      <w:bookmarkStart w:id="20" w:name="_Toc6138"/>
      <w:bookmarkStart w:id="21" w:name="_Toc309995390"/>
      <w:bookmarkStart w:id="22" w:name="_Toc298937419"/>
      <w:bookmarkStart w:id="23" w:name="_Toc309995472"/>
      <w:bookmarkStart w:id="24" w:name="_Toc298937462"/>
      <w:bookmarkStart w:id="25" w:name="_Toc304825081"/>
      <w:bookmarkStart w:id="26" w:name="_Toc309997040"/>
      <w:bookmarkStart w:id="27" w:name="_Toc37234703"/>
      <w:bookmarkStart w:id="28" w:name="_Toc298937188"/>
      <w:bookmarkStart w:id="29" w:name="_Toc304825008"/>
      <w:bookmarkStart w:id="30" w:name="_Toc298937322"/>
      <w:bookmarkStart w:id="31" w:name="_Toc29892338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《机械工程动力系统节能减排技术规范》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2025年10月20日，中国西部开发促进会发布《机械工程动力系统节能减排技术规范》团体标准立项通知,开展团体标准的编制工作。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机械工程动力系统节能减排技术规范》的核心目的，在于建立一套针对各类机械工程动力系统（如内燃机、液压系统、电动驱动系统等）的统一、科学、可操作的节能减排技术标准体系。该规范旨在通过系统规定动力系统的能效检测方法、能耗限值、排放控制技术、运行优化策略及能效评价准则，为动力系统的设计、制造、运行与维护提供全生命周期的技术指引，其根本目标是系统性提升机械装备的能源利用效率，降低污染物排放，推动机械工业向绿色、低碳方向转型。</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制定与实施具有承上启下的重要意义。承上，它是贯彻落实国家“双碳”战略和《节约能源法》在机械工程领域的具体行动，将宏观政策目标转化为行业可执行、可考核的技术条款。启下，它通过确立先进、统一的能效和排放标杆，为机械设备制造商提供了明确的技术升级方向，为设备用户提供了科学的节能运行与采购依据，并为政府监管提供了有效的技术支撑。该规范的推行，将有力引导技术创新和市场资源配置，对提升整个机械工业的绿色竞争力、培育节能环保新业态具有关键的牵引和规范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编制本规范是应对当前严峻挑战与把握未来发展趋势的迫切必要之举。首先，是破解机械装备能耗高、排放量大这一行业痛点的直接需要。 机械工程动力系统作为工业领域的主要能耗和排放源之一，其能效水平直接影响国家整体节能目标的实现，亟需通过标准化手段予以规范和提升。其次，是应对国内外绿色贸易壁垒、提升中国装备国际竞争力的必然要求。 全球范围内对机械设备能效和环保要求日益严苛，统一的先进标准是帮助中国制造走向世界、参与高水平国际竞争的“通行证”。最后，是整合碎片化技术、引领行业有序发展的内在要求。</w:t>
      </w:r>
      <w:bookmarkStart w:id="54" w:name="_GoBack"/>
      <w:bookmarkEnd w:id="54"/>
      <w:r>
        <w:rPr>
          <w:rFonts w:hint="eastAsia" w:ascii="仿宋" w:hAnsi="仿宋" w:eastAsia="仿宋" w:cs="仿宋"/>
          <w:kern w:val="0"/>
          <w:sz w:val="21"/>
          <w:szCs w:val="21"/>
          <w:lang w:val="en-US" w:eastAsia="zh-CN" w:bidi="ar-SA"/>
        </w:rPr>
        <w:t>当前行业内技术路线多样，能效评价标准不一，导致市场混乱，亟需一部权威、综合性的技术规范来统一技术路径、淘汰落后产能、引导行业健康可持续发展。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北京市地铁运营有限公司运营二分公司等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北京市地铁运营有限公司运营二分公司等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机械工程动力系统能效管理、排放控制相关的法规政策、技术标准与最佳实践案例，调研我国主要机械装备动力系统（包括内燃机、液压系统、电动驱动系统等）的能源消耗结构、污染物排放水平、现有节能技术应用现状及企业面临的挑战。通过实地走访典型制造企业、设备用户单位，结合问卷调查与行业专家访谈，深入分析当前在系统能效提升、低负荷运行优化、排放实时监控、余热余能回收等方面的技术瓶颈与管理难点，明确标准化需求，形成全面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分析，明确本标准《机械工程动力系统节能减排技术规范》的编制范围、核心内容与预期目标，重点涵盖动力系统能效检测与评价方法、运行能效限值、污染物排放控制技术、系统优化运行策略、能量回收利用及数字化监控等方面的技术要求。据此编制详细的立项建议书与相关论证材料，正式提交至归口管理的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组建由机械制造企业、动力系统供应商、节能服务公司、科研院所、检测认证机构及行业协会专家组成的标准起草工作组。紧密结合调研成果、技术发展趋势与工程实践，严格遵循GB/T 1.1《标准化工作导则》的规则，搭建标准整体框架，并逐章逐节细化“术语和定义”、“基本规定”、“能效检测与评价”、“排放控制要求”、“系统运行与优化”、“监测与数据管理”等核心章节的技术内容、性能指标与操作规范。完成标准草案初稿后，组织起草组内部多次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归口管理机构官方平台、行业媒体、专业会议等多种渠道，向社会公开发布征求意见，同时定向征求重点装备制造企业、动力系统用户、设计院、环保部门及相关领域资深专家的意见。对收集到的所有反馈建议进行系统梳理、科学论证和汇总，据此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建立了完整的动力系统能效与排放验证体系，通过规定系统综合能效不低于80%、变工况运行效率不低于额定效率85%、颗粒物排放浓度不大于20mg/m³等具体技术参数，为节能减排效果验证提供了明确依据。规范中明确的测试计算法、现场检测法和数据分析法三种评价方法，以及在线监测数据保存不少于3年的要求，形成了从单机测试到系统评估的多层次验证机制，确保各项指标可测量、可验证、可追溯。</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机械工程动力系统节能减排的全面技术体系，涵盖能效评价、排放控制、运行优化和监测评估等关键环节。系统规定了动力系统从设计选型、运行管理到维护优化的全过程技术要求，首次将能效基准管理、预测性维护、避峰就谷运行等先进管理方法纳入标准范畴，为各类机械动力系统的节能减排工作提供了系统化、规范化的技术指导。</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通过标准化能效管理和技术改造要求，可实现显著的节能经济效益。虽然高效传动装置改造、预测性维护系统建设等初期投入会增加15-20%的成本，但通过系统综合能效提升8%以上、设备可用率提高至98%、维护成本降低15%等效益，项目投资回收期可控制在3年以内。规范推广的避峰就谷运行策略可降低用电成本10%以上，实现技术可行性与经济合理性的统一。</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预计可使动力系统能耗降低15-20%，年度节能目标不低于3%的要求将带来持续的运行成本节约。通过预防性维护和运行优化，设备故障率可降低25%，延长设备使用寿命20%以上。规模化推广应用后，全行业年节电量可达数百亿千瓦时，减少能源支出超过百亿元，投资回收期普遍在2-3年。</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提升用能单位能源管理水平，增强产业竞争力；降低设备故障风险，保障生产安全稳定；推动节能环保产业发展，创造绿色就业岗位。生态效益方面：年均可减少二氧化碳排放数千万吨，颗粒物排放浓度控制在20mg/m³以内，噪声污染得到有效治理；通过系统化节能减排，为实现碳达峰碳中和目标提供重要技术支撑，促进经济社会可持续发展。</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24884212"/>
      <w:bookmarkStart w:id="38" w:name="_Toc17233334"/>
      <w:bookmarkStart w:id="39" w:name="_Toc24884219"/>
      <w:r>
        <w:rPr>
          <w:rFonts w:hint="eastAsia" w:ascii="仿宋" w:hAnsi="仿宋" w:eastAsia="仿宋" w:cs="仿宋"/>
          <w:sz w:val="21"/>
          <w:szCs w:val="21"/>
          <w:lang w:val="en-US" w:eastAsia="zh-CN"/>
        </w:rPr>
        <w:t>本章明确了本规范的适用范围，涵盖额定功率不小于10kW的各类机械工程动力系统在设计、制造、运行和维护过程中的节能减排工作，规定了能效评价、排放控制、运行优化、监测评估等核心技术内容。</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11915"/>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EF856A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15316 节能监测技术通则</w:t>
      </w:r>
    </w:p>
    <w:p w14:paraId="32B4CD5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17167 用能单位能源计量器具配备和管理通则</w:t>
      </w:r>
    </w:p>
    <w:p w14:paraId="5423755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18613 电动机能效限定值及能效等级</w:t>
      </w:r>
    </w:p>
    <w:p w14:paraId="51DCDCF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23331 能源管理体系 要求及使用指南</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对"尾矿"、"尾矿综合利用"、"尾矿建材"、"有价组分回收"、"活性指数"等核心术语作出明确定义，为规范的理解与执行提供统一的概念基础。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提出了动力系统设计应遵循节能环保、技术先进、经济合理的原则，要求建立能源管理体系，配备能源计量器具，定期开展能源审计，并建立节能减排目标责任制。</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能效评价</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分能效指标、评价方法、能效基准与目标和能效诊断四部分，详细规定了系统综合能效、设备运行效率、能源利用率等关键指标，以及测试计算法、现场检测法、数据分析法等评价方法。</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排放控制</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包括废气排放和噪声控制两个方面，明确了颗粒物、氮氧化物、硫化物等污染物的排放限值和控制要求，以及设备噪声限值、降噪措施和噪声监测要求。</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运行优化</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从运行管理、节能改造、维护优化和管理优化四个维度，规定了操作规程、维护保养、技术改造、设备更新、预防性维护、运行调度等具体优化措施和要求。</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8.监测评估</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明确了监测要求、评估报告和持续改进的具体规定，包括监测项目、频率、方法，评估内容和周期，以及PDCA改进机制和绩效考评要求。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9BB2216"/>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3978</Words>
  <Characters>4145</Characters>
  <Lines>17</Lines>
  <Paragraphs>4</Paragraphs>
  <TotalTime>2</TotalTime>
  <ScaleCrop>false</ScaleCrop>
  <LinksUpToDate>false</LinksUpToDate>
  <CharactersWithSpaces>4178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2025-11-03T02:58:32Z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4FEA7ED39DE742BF89E3CB6DDA58C328_13</vt:lpwstr>
  </property>
  <property fmtid="{D5CDD505-2E9C-101B-9397-08002B2CF9AE}" pid="4" name="KSOTemplateDocerSaveRecord">
    <vt:lpwstr>eyJoZGlkIjoiMzEwNTM5NzYwMDRjMzkwZTVkZjY2ODkwMGIxNGU0OTUiLCJ1c2VySWQiOiI1OTM0Mzk3OTEifQ==</vt:lpwstr>
  </property>
</Properties>
</file>