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9993180"/>
      <w:bookmarkStart w:id="1" w:name="_Toc298937201"/>
      <w:bookmarkStart w:id="2" w:name="_Toc309995578"/>
      <w:bookmarkStart w:id="3" w:name="_Toc298937152"/>
      <w:bookmarkStart w:id="4" w:name="_Toc304825008"/>
      <w:bookmarkStart w:id="5" w:name="_Toc298937462"/>
      <w:bookmarkStart w:id="6" w:name="_Toc309995999"/>
      <w:bookmarkStart w:id="7" w:name="_Toc298937100"/>
      <w:bookmarkStart w:id="8" w:name="_Toc309994551"/>
      <w:bookmarkStart w:id="9" w:name="_Toc298937609"/>
      <w:bookmarkStart w:id="10" w:name="_Toc304825081"/>
      <w:bookmarkStart w:id="11" w:name="_Toc310002637"/>
      <w:bookmarkStart w:id="12" w:name="_Toc298936924"/>
      <w:bookmarkStart w:id="13" w:name="_Toc309997040"/>
      <w:bookmarkStart w:id="14" w:name="_Toc309995472"/>
      <w:bookmarkStart w:id="15" w:name="_Toc298937419"/>
      <w:bookmarkStart w:id="16" w:name="_Toc309995390"/>
      <w:bookmarkStart w:id="17" w:name="_Toc6138"/>
      <w:bookmarkStart w:id="18" w:name="_Toc298937276"/>
      <w:bookmarkStart w:id="19" w:name="_Toc298923383"/>
      <w:bookmarkStart w:id="20" w:name="_Toc499110426"/>
      <w:bookmarkStart w:id="21" w:name="_Toc298937357"/>
      <w:bookmarkStart w:id="22" w:name="_Toc304828066"/>
      <w:bookmarkStart w:id="23" w:name="_Toc304402664"/>
      <w:bookmarkStart w:id="24" w:name="_Toc298938783"/>
      <w:bookmarkStart w:id="25" w:name="_Toc298936801"/>
      <w:bookmarkStart w:id="26" w:name="_Toc298937322"/>
      <w:bookmarkStart w:id="27" w:name="_Toc298938635"/>
      <w:bookmarkStart w:id="28" w:name="_Toc298937167"/>
      <w:bookmarkStart w:id="29" w:name="_Toc304824969"/>
      <w:bookmarkStart w:id="30" w:name="_Toc37234703"/>
      <w:bookmarkStart w:id="31" w:name="_Toc298937188"/>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《道路市政工程绿色低碳路面设计规范》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w:t>
      </w:r>
      <w:r>
        <w:rPr>
          <w:rFonts w:hint="eastAsia" w:ascii="仿宋" w:hAnsi="仿宋" w:eastAsia="仿宋" w:cs="仿宋"/>
          <w:kern w:val="2"/>
          <w:sz w:val="21"/>
          <w:szCs w:val="21"/>
          <w:lang w:val="en-US" w:eastAsia="zh-CN" w:bidi="ar-SA"/>
        </w:rPr>
        <w:t>道路市政工程绿色低碳路面设计规范</w:t>
      </w:r>
      <w:r>
        <w:rPr>
          <w:rFonts w:hint="eastAsia" w:ascii="仿宋" w:hAnsi="仿宋" w:eastAsia="仿宋" w:cs="仿宋"/>
          <w:sz w:val="21"/>
          <w:szCs w:val="21"/>
          <w:lang w:val="en-US" w:eastAsia="zh-CN"/>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道路市政工程绿色低碳路面设计规范》的制定，旨在为城镇道路、公路等市政工程中路面的规划设计、材料选择、结构设计与施工养护提供系统性的绿色低碳技术指导与量化要求。其核心目的是通过规范可再生材料利用、低温施工技术、长寿命设计、碳足迹核算等方法，显著降低路面材料生产、施工及全生命周期维护的能源消耗与温室气体排放，推动道路工程从传统模式向资源节约、环境友好、低碳排放的可持续发展模式转型。</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该标准的意义在于填补了道路工程领域绿色低碳路面设计标准的空白，将绿色发展理念具体化为可操作、可验证的技术条款。它通过建立路面材料碳足迹数据库、提出基于生命周期评估的设计方法、明确再生材料利用比例要求等措施，为设计单位、施工企业和管理部门提供了统一的技术依据，对促进循环经济发展、推动建筑垃圾资源化利用、提升基础设施绿色化水平具有重要的引领作用。</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我国城镇化进程持续深入与“双碳”战略实施的现实背景。道路工程体量巨大，其材料生产与施工过程是城乡建设领域碳排放的重要来源之一。然而，当前路面设计仍多以性能和经济为导向，缺乏对资源环境影响的系统考量，导致大量废旧路面材料难以高效循环利用，新能源材料与低碳技术推广应用受阻。因此，亟需制定专项规范，引导行业采用绿色低碳的设计理念与技术措施，规范和推动再生骨料、温拌沥青、光伏路面等新技术的标准化应用，从而有效降低行业碳排放，提升道路工程的生态效益与环境相容性。</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由广东省百晟建设工程有限公司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广东省百晟建设工程有限公司等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绿色建筑、低碳道路相关的国家标准、行业标准及团体标准，调研市政道路工程建设中材料生产、施工工艺及养护管理的能耗与碳排放现状，重点分析再生骨料、温拌沥青、长寿命路面等绿色低碳技术的应用情况。通过实地走访典型工程项目、材料生产企业及养护单位，结合问卷调查与专家访谈，全面掌握当前绿色低碳路面在设计方法、材料选择、碳核算等方面的技术瓶颈与管理需求，形成涵盖材料、结构、施工、运维全过程的调研分析报告，为后续标准编制提供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道路市政工程绿色低碳路面设计规范》的编制范围与核心内容，包括绿色材料选用要求、低碳结构设计方法、施工工艺碳排放控制、养护策略优化及全生命周期碳核算等方面的技术要求。编制立项申请书及相关材料，重点阐述其在推动道路工程绿色转型、助力行业碳达峰碳中和目标实现方面的重要作用，提交至团体标准管理机构，经专家组评审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组建由设计院所、施工企业、材料厂商、科研机构及环保部门专家参与的标准起草工作组。依据GB/T 1.1《标准化工作导则》搭建标准框架，结合国内外先进经验与工程实践，细化再生材料掺量比例、温拌技术适用条件、路面结构碳足迹计算模型等关键技术指标。完成标准草案初稿后，组织内部多轮研讨与修改，确保技术内容的科学性、先进性与可操作性。</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市政工程协会、交通运输平台、环保产业联盟等渠道，向社会公开发布征求意见稿，定向征求设计单位、施工单位、材料供应商、科研院校及生态环境部门的意见。重点收集关于材料性能指标、碳排放核算方法、技术经济合理性等方面的建议。起草组对反馈意见进行系统梳理、论证分析，据此完善标准内容，形成征求意见稿及意见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根据《道路市政工程绿色低碳路面设计规范》标准草案开展的试验验证分析，重点围绕再生材料应用性能、低碳施工工艺可靠性及全生命周期碳核算准确性等核心内容展开。通过在典型气候区和交通荷载条件下铺设试验段，系统测试高掺量再生沥青混合料（RAP掺量≥15%）的路用性能、温拌沥青混合料（拌和温度降低20–30℃）的压实效果与长期耐久性，以及透水路面（孔隙率≥15%）的渗透稳定性与抗堵塞能力。验证数据显示，采用规范推荐材料与工艺的路面结构在动稳定度、弯拉应变等关键性能指标上均满足传统规范要求，同时施工阶段碳排放监测表明单位面积碳减排率可达18–25%，证实了规范技术路线的可行性与减排有效性。</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的综述报告表明，该文件是我国首部系统整合材料、结构、施工、养护全过程的绿色低碳路面专项设计标准，构建了以“资源节约、环境友好、低碳排放”为核心的技术体系。规范创新性地提出了基于全生命周期的路面碳核算方法，明确了再生材料应用比例下限、温拌技术温控范围、长寿命路面设计基准期（≥30年）等关键技术指标，填补了道路工程领域绿色低碳设计标准的空白，对推动行业从“性能导向”向“性能-环境”双导向转型具有里程碑意义。</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经济角度论证，本规范虽在初期可能增加材料检测成本与工艺控制投入，但通过规模化应用再生材料可降低原材料采购成本15–30%，长寿命设计减少大修次数可节约全生命周期成本20%以上。规范提出的性能平衡优化方法与预防性养护策略，能够有效避免过度设计和高碳维护，实现“前期投入可控、长期效益显著”的经济合理性。随着碳交易市场完善，低碳路面产生的碳减排量将逐渐显现经济价值，进一步增强标准实施的经济可行性。</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经济效益方面，本规范的实施将显著降低道路建设项目的材料成本与养护支出，再生材料的规模化应用为建筑垃圾资源化产业创造稳定市场空间。长寿命路面设计延长大修周期，直接减少道路运营期的养护投入和交通影响损失。同时，规范的推广将带动温拌设备、再生技术、碳核算软件等相关产业发展，培育新的经济增长点，为传统道路行业注入绿色创新动能。</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社会与生态效益层面，本规范通过推广透水路面和降噪路面等功能性设计，有效缓解城市内涝、降低交通噪音，提升居民生活品质和城市宜居性。在生态方面，规范大幅提高再生材料利用率，减少天然石材开采和建筑垃圾堆放对土地的占用与破坏，全生命周期碳减排显著助力区域碳中和目标实现。此外，绿色低碳路面的规模化应用将形成可视化的生态教育载体，增强公众环保意识，推动基础设施建设的绿色转型和可持续发展。</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6648466"/>
      <w:bookmarkStart w:id="36" w:name="_Toc24884212"/>
      <w:bookmarkStart w:id="37" w:name="_Toc17233326"/>
      <w:bookmarkStart w:id="38" w:name="_Toc24884219"/>
      <w:bookmarkStart w:id="39" w:name="_Toc17233334"/>
      <w:r>
        <w:rPr>
          <w:rFonts w:hint="eastAsia" w:ascii="仿宋" w:hAnsi="仿宋" w:eastAsia="仿宋" w:cs="仿宋"/>
          <w:sz w:val="21"/>
          <w:szCs w:val="21"/>
          <w:lang w:val="en-US" w:eastAsia="zh-CN"/>
        </w:rPr>
        <w:t>本章明确了标准的适用范围，规定了道路市政工程绿色低碳路面设计的基本规定、材料选择、路面结构设计、功能层设计、施工工艺质量控制、养护与运营、环境效益评估与碳核算、协同设计与性能平衡等要求。适用于新建、改建和扩建的城市道路、公路等市政工程的路面绿色低碳设计，并为路面养护决策提供技术依据。</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718931"/>
      <w:bookmarkStart w:id="41" w:name="_Toc26986772"/>
      <w:bookmarkStart w:id="42" w:name="_Toc113282591"/>
      <w:bookmarkStart w:id="43" w:name="_Toc11915"/>
      <w:bookmarkStart w:id="44" w:name="_Toc97192965"/>
      <w:bookmarkStart w:id="45" w:name="_Toc2698653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107B2FA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25878 对虾传染性皮下及造血组织坏死病毒（IHHNV）检测　PCR法</w:t>
      </w:r>
    </w:p>
    <w:p w14:paraId="1AF5E4D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50378 绿色建筑评价标准（2024年版）</w:t>
      </w:r>
    </w:p>
    <w:p w14:paraId="6434118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51366 建筑碳排放计算标准</w:t>
      </w:r>
    </w:p>
    <w:p w14:paraId="33C0D46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CJJ/T 154 建筑给水金属管道工程技术标准</w:t>
      </w:r>
    </w:p>
    <w:p w14:paraId="0349069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JTG F40 公路沥青路面施工技术规范</w:t>
      </w:r>
    </w:p>
    <w:p w14:paraId="6AA9A282">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JTG D50 公路沥青路面设计规范</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97192966"/>
      <w:bookmarkStart w:id="47" w:name="_Toc113282592"/>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对“绿色低碳路面”“全生命周期碳排放”“温拌沥青技术”“建筑垃圾再生骨料”“低碳养护技术”“协同设计”等关键术语进行了明确定义，为规范的实施提供统一的概念基础。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提出了路面设计应遵循的“减量化、再利用、资源化”原则，明确了全生命周期理念、多专业协同、可恢复性设计等基本要求，并规定建立全生命周期档案。</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材料选择</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从一般规定、再生材料应用、低碳胶结料和新型低碳材料四个方面提出具体要求，包括再生材料优先使用、RAP掺量不低于15%、温拌沥青降温20–30℃、新型胶凝材料替代率不超过30%等技术指标。</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路面结构设计</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明确了设计原则，提出了典型绿色低碳路面结构组合和长寿命路面设计要求，规定长寿命路面设计基准期不低于30年，强调“强基薄面”和材料回收便利性。</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功能层设计与施工工艺质量控制</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涵盖了透水路面、降噪路面的设计参数与施工要求，以及低碳施工工艺和质量控制措施，包括透水面层孔隙率不低于15%、多孔沥青孔隙率18–22%、RAP加热温度控制等具体指标。</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8.养护与运营阶段的绿色低碳策略</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提出了基于路面技术状况的预防性养护决策机制，列出了微表处、超薄磨耗层等低碳养护技术的适用条件与厚度要求，规定PCI下降至85时启动预防性养护。</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协同设计与性能平衡</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强调了路面设计与排水、景观等多专业协同的重要性，提供了在绿色低碳目标与传统性能要求冲突时的平衡优化方法与决策流程。</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环境效益评估与碳核算</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规定了全生命周期碳排放的核算边界与方法，要求进行减排效果对比和生态影响评估，明确透水路面径流削减率不低于70%。</w:t>
      </w:r>
    </w:p>
    <w:p w14:paraId="44B474AB">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11.设计文件编制要求</w:t>
      </w:r>
    </w:p>
    <w:p w14:paraId="7476BA0C">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规定了绿色低碳设计专篇应包含的内容，包括技术路线、材料用量、碳核算报告、养护规划等，确保设计成果完整可追溯。</w:t>
      </w:r>
    </w:p>
    <w:p w14:paraId="7278A90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12.实施管理与绩效评价</w:t>
      </w:r>
    </w:p>
    <w:p w14:paraId="6C6BBCB2">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从管理职责、过程控制、绩效指标和持续改进四个方面提出实施要求，明确了单位面积碳排放强度、再生材料利用率等核心评价指标，建立了从设计到运营的全过程管理机制。</w:t>
      </w:r>
    </w:p>
    <w:p w14:paraId="2545AB1A">
      <w:pPr>
        <w:pStyle w:val="60"/>
        <w:numPr>
          <w:ilvl w:val="1"/>
          <w:numId w:val="0"/>
        </w:numPr>
        <w:spacing w:before="156" w:after="156"/>
        <w:rPr>
          <w:rFonts w:ascii="仿宋" w:hAnsi="仿宋" w:eastAsia="仿宋" w:cs="仿宋"/>
          <w:b/>
          <w:bCs/>
          <w:color w:val="000000"/>
          <w:sz w:val="21"/>
          <w:szCs w:val="21"/>
        </w:rPr>
      </w:pPr>
      <w:bookmarkStart w:id="56" w:name="_GoBack"/>
      <w:bookmarkEnd w:id="56"/>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DAD629C"/>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664520C"/>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5203</Words>
  <Characters>5381</Characters>
  <Lines>17</Lines>
  <Paragraphs>4</Paragraphs>
  <TotalTime>3</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2025-11-02T15:21:25Z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9B76957C33A342C88E864881EBFCCCC9_13</vt:lpwstr>
  </property>
  <property fmtid="{D5CDD505-2E9C-101B-9397-08002B2CF9AE}" pid="4" name="KSOTemplateDocerSaveRecord">
    <vt:lpwstr>eyJoZGlkIjoiMzEwNTM5NzYwMDRjMzkwZTVkZjY2ODkwMGIxNGU0OTUiLCJ1c2VySWQiOiI1OTM0Mzk3OTEifQ==</vt:lpwstr>
  </property>
</Properties>
</file>