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499110426"/>
      <w:bookmarkStart w:id="1" w:name="_Toc298923383"/>
      <w:bookmarkStart w:id="2" w:name="_Toc298937462"/>
      <w:bookmarkStart w:id="3" w:name="_Toc298937609"/>
      <w:bookmarkStart w:id="4" w:name="_Toc309997040"/>
      <w:bookmarkStart w:id="5" w:name="_Toc298937201"/>
      <w:bookmarkStart w:id="6" w:name="_Toc309995472"/>
      <w:bookmarkStart w:id="7" w:name="_Toc309993180"/>
      <w:bookmarkStart w:id="8" w:name="_Toc310002637"/>
      <w:bookmarkStart w:id="9" w:name="_Toc298936924"/>
      <w:bookmarkStart w:id="10" w:name="_Toc298937419"/>
      <w:bookmarkStart w:id="11" w:name="_Toc309995578"/>
      <w:bookmarkStart w:id="12" w:name="_Toc298937152"/>
      <w:bookmarkStart w:id="13" w:name="_Toc309995999"/>
      <w:bookmarkStart w:id="14" w:name="_Toc309994551"/>
      <w:bookmarkStart w:id="15" w:name="_Toc298937100"/>
      <w:bookmarkStart w:id="16" w:name="_Toc309995390"/>
      <w:bookmarkStart w:id="17" w:name="_Toc304825008"/>
      <w:bookmarkStart w:id="18" w:name="_Toc304825081"/>
      <w:bookmarkStart w:id="19" w:name="_Toc6138"/>
      <w:bookmarkStart w:id="20" w:name="_Toc298936801"/>
      <w:bookmarkStart w:id="21" w:name="_Toc298937276"/>
      <w:bookmarkStart w:id="22" w:name="_Toc298937188"/>
      <w:bookmarkStart w:id="23" w:name="_Toc304402664"/>
      <w:bookmarkStart w:id="24" w:name="_Toc304824969"/>
      <w:bookmarkStart w:id="25" w:name="_Toc298937357"/>
      <w:bookmarkStart w:id="26" w:name="_Toc37234703"/>
      <w:bookmarkStart w:id="27" w:name="_Toc298938783"/>
      <w:bookmarkStart w:id="28" w:name="_Toc298937167"/>
      <w:bookmarkStart w:id="29" w:name="_Toc298938635"/>
      <w:bookmarkStart w:id="30" w:name="_Toc304828066"/>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w:t>
      </w:r>
      <w:bookmarkStart w:id="32" w:name="_Toc212400185"/>
      <w:bookmarkStart w:id="33" w:name="_Toc24884211"/>
      <w:bookmarkStart w:id="34" w:name="_Toc17233333"/>
      <w:bookmarkStart w:id="35" w:name="_Toc113284169"/>
      <w:bookmarkStart w:id="36" w:name="_Toc26986771"/>
      <w:bookmarkStart w:id="37" w:name="_Toc24884218"/>
      <w:bookmarkStart w:id="38" w:name="_Toc26718930"/>
      <w:bookmarkStart w:id="39" w:name="NEW_STAND_NAME"/>
      <w:bookmarkStart w:id="40" w:name="_Toc26648465"/>
      <w:bookmarkStart w:id="41" w:name="_Toc97192964"/>
      <w:bookmarkStart w:id="42" w:name="_Toc26986530"/>
      <w:bookmarkStart w:id="43" w:name="_Toc17233325"/>
      <w:r>
        <w:rPr>
          <w:rFonts w:hint="eastAsia" w:ascii="仿宋" w:hAnsi="仿宋" w:eastAsia="仿宋" w:cs="仿宋"/>
          <w:b/>
          <w:bCs/>
          <w:sz w:val="32"/>
          <w:szCs w:val="32"/>
          <w:lang w:eastAsia="zh-CN"/>
        </w:rPr>
        <w:t>民用建筑结构长期性能检测与评估规范</w:t>
      </w:r>
      <w:bookmarkEnd w:id="32"/>
      <w:bookmarkEnd w:id="33"/>
      <w:bookmarkEnd w:id="34"/>
      <w:bookmarkEnd w:id="35"/>
      <w:bookmarkEnd w:id="36"/>
      <w:bookmarkEnd w:id="37"/>
      <w:bookmarkEnd w:id="38"/>
      <w:bookmarkEnd w:id="39"/>
      <w:bookmarkEnd w:id="40"/>
      <w:bookmarkEnd w:id="41"/>
      <w:bookmarkEnd w:id="42"/>
      <w:bookmarkEnd w:id="43"/>
      <w:r>
        <w:rPr>
          <w:rFonts w:hint="eastAsia" w:ascii="仿宋" w:hAnsi="仿宋" w:eastAsia="仿宋" w:cs="仿宋"/>
          <w:b/>
          <w:bCs/>
          <w:sz w:val="32"/>
          <w:szCs w:val="32"/>
          <w:lang w:eastAsia="zh-CN"/>
        </w:rPr>
        <w:t>》</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2025年10月20日，中国西部开发促进会发布《民用建筑结构长期性能检测与评估规范》团体标准立项通知,开展团体标准的编制工作。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44" w:name="_Toc298937549"/>
      <w:bookmarkEnd w:id="44"/>
      <w:bookmarkStart w:id="45" w:name="BT1"/>
      <w:bookmarkEnd w:id="45"/>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民用建筑结构长期性能检测与评估规范》的制定，旨在为既有民用建筑结构在使用寿命周期内的安全性、适用性和耐久性提供系统性的检测、监测与评估方法指导。其核心目的是通过建立科学的检测指标体系、规范的评估流程和统一的评判标准，实现对建筑结构性能的长期跟踪与状态诊断，为建筑物的维护、加固、改造乃至拆除决策提供可靠的技术依据，从而保障建筑结构的长期使用安全，延长其使用寿命。</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标准的意义在于填补了我国在建筑全生命周期性能监测与评估领域的标准空白，将传统的“事后处置”转变为“事前预警”和“过程管控”，推动建筑安全管理从静态验收向动态监控转变。它整合了结构工程、材料科学、监测技术等多学科方法，形成了一套覆盖数据采集、性能分析、状态预测的完整技术体系，对提升我国建筑运维管理水平、推动智能监测技术应用、促进城市建筑群的可持续发展具有重要支撑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我国大量民用建筑逐渐进入“中老年”阶段的结构安全现实需求。随着建筑年龄增长，材料老化、构件损伤、性能退化等问题日益凸显，而既有检测标准多侧重于新建验收或特定病害检测，缺乏对长期性能的系统性评估方法。近年来部分建筑老化引发的安全事故，暴露出在长期性能跟踪和风险预警方面的制度短板。因此，亟需制定专项规范，建立建筑结构“健康档案”，实现对结构性能的常态化监测与风险评估，避免因性能退化导致的安全事故，提升城市建筑安全韧性和综合治理能力。</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46" w:name="BT3"/>
      <w:bookmarkEnd w:id="46"/>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由广东科伟工程检测有限公司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广东科伟工程检测有限公司等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建筑结构检测、监测、鉴定评估相关的国家标准、行业标准及团体标准，调研民用建筑在使用过程中材料老化、构件损伤、性能退化等长期性能演变规律及现有检测评估技术应用现状。通过实地走访典型既有建筑项目、结构健康监测系统集成商、检测鉴定机构及物业管理部门，结合问卷调查与专家访谈，分析当前民用建筑结构长期性能检测在监测指标选取、数据连续性、评估方法统一性等方面存在的技术瓶颈与管理难点，形成涵盖结构类型、使用环境、监测技术、评估标准等维度的详细调研分析报告，为后续标准编制提供实践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民用建筑结构长期性能检测与评估规范》的编制范围与核心内容，包括长期性能监测指标体系、检测方法与周期、数据处理与分析、性能状态评估分级、剩余寿命预测、维护决策支持等方面的技术要求。编制立项申请书及相关材料，阐述其在提升建筑安全管理水平、推动预防性维护、保障结构长效安全方面的重要作用，提交至团体标准管理机构，经专家组评审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组建由检测鉴定单位、建筑设计院、高校科研机构、物业管理企业及监测设备厂商专家参与的标准起草工作组。依据GB/T 1.1《标准化工作导则》搭建标准整体结构，结合工程实践与调研成果，细化监测项选择、传感器布设、数据采集频率、性能退化模型、评估等级划分、报告编制要求等关键技术条款。完成标准草案初稿后，组织内部多轮研讨与修改，确保技术内容的科学性、系统性与可操作性。</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建筑业协会、土木工程学会、标准化信息平台等渠道，向社会公开发布征求意见稿，定向征求设计、施工、检测、监理、物业管理单位及科研院所的意见。重点收集关于监测指标合理性、评估阈值设定、长期数据有效性、经济可行性等方面的建议。起草组对反馈意见进行汇总、分析与处理，据此修改完善草案，形成征求意见稿及意见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根据《民用建筑结构长期性能检测与评估规范》标准草案开展的试验验证分析，重点围绕长期性能专项检测方法的可行性与评估模型的准确性展开。通过在典型气候区、不同结构类型的既有建筑中布设传感器网络，系统采集材料性能时变数据、结构变形序列及动力特性参数，并对碳化深度、氯离子含量、钢筋锈蚀速率等关键指标进行实验室对比分析。验证结果表明，规范提出的性能阈值设定合理，基于统计与预测模型的剩余寿命评估方法能够有效反映结构性能退化趋势，监测数据与实际损伤状况的吻合度达到85%以上，证实了规范技术路线的科学性和现场可操作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的综述报告表明，该文件是我国首部专门针对民用建筑全生命周期性能监测与评估的技术标准，构建了涵盖检测程序、专项监测、评估分级、处理措施和档案管理的完整技术体系。它创新性地提出了基于长期性能数据的可靠性评估方法，明确了安全性、适用性和耐久性三方面的等级划分标准，并引入了数字孪生技术用于性能数据管理。该规范的制定填补了建筑使用阶段性能监测与评估领域的标准空白，对推动建筑安全管理从静态鉴定向动态预警转变具有里程碑意义。</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eastAsia="zh-CN"/>
        </w:rPr>
      </w:pPr>
      <w:r>
        <w:rPr>
          <w:rFonts w:hint="eastAsia" w:ascii="仿宋" w:hAnsi="仿宋" w:eastAsia="仿宋" w:cs="仿宋"/>
          <w:sz w:val="21"/>
          <w:szCs w:val="21"/>
        </w:rPr>
        <w:t>从技术经济角度论证，本规范虽然要求初期投入传感器设备和数字平台建设成本，但通过精准化监测和预防性维护可显著延长建筑使用寿命，避免因结构性破坏导致的巨额修复费用。规范提出的分级处置策略能够帮助业主根据建筑实际状况制定最优维护方案，避免过度维修或维修不足造成的资源浪费，实现全生命周期成本最优化。随着物联网设备成本的持续下降，该规范的实施具有良好的经济可行性和推广价值</w:t>
      </w:r>
      <w:r>
        <w:rPr>
          <w:rFonts w:hint="eastAsia" w:ascii="仿宋" w:hAnsi="仿宋" w:eastAsia="仿宋" w:cs="仿宋"/>
          <w:sz w:val="21"/>
          <w:szCs w:val="21"/>
          <w:lang w:eastAsia="zh-CN"/>
        </w:rPr>
        <w:t>。</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经济效益方面，本规范的实施能够帮助物业业主和城市管理者精准把握建筑结构健康状况，通过预防性维护降低突发性抢修概率，延长建筑使用年限，显著减少大修和重建成本。同时规范的推广将带动建筑监测设备、数据分析软件和加固维修产业的发展，创造新的经济增长点。对金融机构和保险业而言，基于长期性能评估的建筑资产价值评价体系也将为信贷风险和保险费率定价提供更科学的依据。</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与生态效益层面，本规范通过建立建筑结构长期性能监测体系，能够提前发现安全隐患，有效预防因结构老化导致的坍塌事故，保障人民群众生命财产安全，增强社会公共安全韧性。在生态方面，规范倡导的基于实际性能的精准维护模式，避免了“大拆大建”带来的资源浪费和建筑垃圾，延长建筑使用寿命符合绿色低碳发展理念，同时数字档案的建立为城市建筑群的可持续发展管理提供了数据支撑，推动建筑业向绿色化、数字化方向转型。</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47" w:name="_Toc26648466"/>
      <w:bookmarkStart w:id="48" w:name="_Toc17233334"/>
      <w:bookmarkStart w:id="49" w:name="_Toc24884219"/>
      <w:bookmarkStart w:id="50" w:name="_Toc24884212"/>
      <w:bookmarkStart w:id="51" w:name="_Toc17233326"/>
      <w:r>
        <w:rPr>
          <w:rFonts w:hint="eastAsia" w:ascii="仿宋" w:hAnsi="仿宋" w:eastAsia="仿宋" w:cs="仿宋"/>
          <w:sz w:val="21"/>
          <w:szCs w:val="21"/>
          <w:lang w:val="en-US" w:eastAsia="zh-CN"/>
        </w:rPr>
        <w:t>本章明确了标准的适用范围，规定了民用建筑结构长期性能的检测程序、评估方法、等级划分及档案管理要求。适用于设计使用年限为50年及以上的民用建筑结构在投入使用后，对其安全性、适用性及耐久性性能进行的跟踪、检测、分析与评估工作。</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26986772"/>
      <w:bookmarkStart w:id="53" w:name="_Toc26718931"/>
      <w:bookmarkStart w:id="54" w:name="_Toc97192965"/>
      <w:bookmarkStart w:id="55" w:name="_Toc26986531"/>
      <w:bookmarkStart w:id="56" w:name="_Toc113282591"/>
      <w:bookmarkStart w:id="57" w:name="_Toc11915"/>
      <w:r>
        <w:rPr>
          <w:rFonts w:hint="eastAsia" w:ascii="仿宋" w:hAnsi="仿宋" w:eastAsia="仿宋" w:cs="仿宋"/>
          <w:b/>
          <w:bCs/>
          <w:sz w:val="21"/>
          <w:szCs w:val="21"/>
          <w:lang w:val="en-US" w:eastAsia="zh-CN"/>
        </w:rPr>
        <w:t>2.规范性引用文件</w:t>
      </w:r>
      <w:bookmarkEnd w:id="47"/>
      <w:bookmarkEnd w:id="48"/>
      <w:bookmarkEnd w:id="49"/>
      <w:bookmarkEnd w:id="50"/>
      <w:bookmarkEnd w:id="51"/>
      <w:bookmarkEnd w:id="52"/>
      <w:bookmarkEnd w:id="53"/>
      <w:bookmarkEnd w:id="54"/>
      <w:bookmarkEnd w:id="55"/>
      <w:bookmarkEnd w:id="56"/>
      <w:bookmarkEnd w:id="57"/>
    </w:p>
    <w:p w14:paraId="73504AA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JGJ/T 488 木结构现场检测技术标准</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 50292 民用建筑可靠性鉴定标准</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8" w:name="_Toc113282592"/>
      <w:bookmarkStart w:id="59" w:name="_Toc2484"/>
      <w:bookmarkStart w:id="60" w:name="_Toc97192966"/>
      <w:r>
        <w:rPr>
          <w:rFonts w:hint="eastAsia" w:ascii="仿宋" w:hAnsi="仿宋" w:eastAsia="仿宋" w:cs="仿宋"/>
          <w:b/>
          <w:bCs/>
          <w:sz w:val="21"/>
          <w:szCs w:val="21"/>
          <w:lang w:val="en-US" w:eastAsia="zh-CN"/>
        </w:rPr>
        <w:t>3.术语和定义</w:t>
      </w:r>
      <w:bookmarkEnd w:id="58"/>
      <w:bookmarkEnd w:id="59"/>
      <w:bookmarkEnd w:id="60"/>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对"结构长期性能""长期性能检测""性能指标""性能阈值""评估基准期"等关键术语进行了明确定义，为规范的实施提供统一的概念基础。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61" w:name="_Toc26986532"/>
      <w:bookmarkEnd w:id="61"/>
      <w:bookmarkStart w:id="62" w:name="_Toc7143"/>
      <w:r>
        <w:rPr>
          <w:rFonts w:hint="eastAsia" w:ascii="仿宋" w:hAnsi="仿宋" w:eastAsia="仿宋" w:cs="仿宋"/>
          <w:b/>
          <w:bCs/>
          <w:sz w:val="21"/>
          <w:szCs w:val="21"/>
          <w:lang w:val="en-US" w:eastAsia="zh-CN"/>
        </w:rPr>
        <w:t>4.基本</w:t>
      </w:r>
      <w:bookmarkEnd w:id="62"/>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提出了检测机构资质要求、人员技术能力要求，将长期性能检测与评估工作分为首次评估、定期评估和特殊事件后评估三种类型，并规定了建立长期性能档案的基本要求。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63" w:name="_Toc4594"/>
      <w:r>
        <w:rPr>
          <w:rFonts w:hint="eastAsia" w:ascii="仿宋" w:hAnsi="仿宋" w:eastAsia="仿宋" w:cs="仿宋"/>
          <w:b/>
          <w:bCs/>
          <w:sz w:val="21"/>
          <w:szCs w:val="21"/>
          <w:lang w:val="en-US" w:eastAsia="zh-CN"/>
        </w:rPr>
        <w:t>5.</w:t>
      </w:r>
      <w:bookmarkEnd w:id="63"/>
      <w:r>
        <w:rPr>
          <w:rFonts w:hint="eastAsia" w:ascii="仿宋" w:hAnsi="仿宋" w:eastAsia="仿宋" w:cs="仿宋"/>
          <w:b/>
          <w:bCs/>
          <w:sz w:val="21"/>
          <w:szCs w:val="21"/>
          <w:lang w:val="en-US" w:eastAsia="zh-CN"/>
        </w:rPr>
        <w:t>检测程序与内容</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详细规定了长期性能检测的工作程序，包括委托、初步调查、方案制定、现场检测、数据分析、报告编制等环节，明确了常规检测的内容和方法，以及长期性能检测方案的制定要求。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64" w:name="_Toc15082"/>
      <w:r>
        <w:rPr>
          <w:rFonts w:hint="eastAsia" w:ascii="仿宋" w:hAnsi="仿宋" w:eastAsia="仿宋" w:cs="仿宋"/>
          <w:b/>
          <w:bCs/>
          <w:sz w:val="21"/>
          <w:szCs w:val="21"/>
          <w:lang w:val="en-US" w:eastAsia="zh-CN"/>
        </w:rPr>
        <w:t>6.</w:t>
      </w:r>
      <w:bookmarkEnd w:id="64"/>
      <w:r>
        <w:rPr>
          <w:rFonts w:hint="eastAsia" w:ascii="仿宋" w:hAnsi="仿宋" w:eastAsia="仿宋" w:cs="仿宋"/>
          <w:b/>
          <w:bCs/>
          <w:sz w:val="21"/>
          <w:szCs w:val="21"/>
          <w:lang w:val="en-US" w:eastAsia="zh-CN"/>
        </w:rPr>
        <w:t>长期性能专项检测</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针对材料性能时变、结构变形与位移、累积损伤和动力特性等专项检测提出具体技术要求，包括混凝土碳化深度、氯离子含量、钢筋锈蚀状况的检测方法，以及沉降观测、裂缝追踪、动力特性测试等技术规范。</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65" w:name="_Toc32215"/>
      <w:r>
        <w:rPr>
          <w:rFonts w:hint="eastAsia" w:ascii="仿宋" w:hAnsi="仿宋" w:eastAsia="仿宋" w:cs="仿宋"/>
          <w:b/>
          <w:bCs/>
          <w:sz w:val="21"/>
          <w:szCs w:val="21"/>
          <w:lang w:val="en-US" w:eastAsia="zh-CN"/>
        </w:rPr>
        <w:t>7.</w:t>
      </w:r>
      <w:bookmarkEnd w:id="65"/>
      <w:r>
        <w:rPr>
          <w:rFonts w:hint="eastAsia" w:ascii="仿宋" w:hAnsi="仿宋" w:eastAsia="仿宋" w:cs="仿宋"/>
          <w:b/>
          <w:bCs/>
          <w:sz w:val="21"/>
          <w:szCs w:val="21"/>
          <w:lang w:val="en-US" w:eastAsia="zh-CN"/>
        </w:rPr>
        <w:t>评估方法与等级划分</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建立了基于检测结果的可靠性评估和基于长期监测数据的性能退化评估方法，制定了安全性、适用性和耐久性三个维度的等级划分标准，并提出了基于统计与预测模型的剩余使用寿命评估方法。</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8.处理措施与建议</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根据评估等级结果，提出了针对性的处理措施建议，包括不同等级对应的维修、加固、监测频率调整等具体措施，强调处理措施应遵循技术可行、经济合理、环境影响最小的原则。</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66" w:name="_Toc11466"/>
      <w:r>
        <w:rPr>
          <w:rFonts w:hint="eastAsia" w:ascii="仿宋" w:hAnsi="仿宋" w:eastAsia="仿宋" w:cs="仿宋"/>
          <w:b/>
          <w:bCs/>
          <w:sz w:val="21"/>
          <w:szCs w:val="21"/>
          <w:lang w:val="en-US" w:eastAsia="zh-CN"/>
        </w:rPr>
        <w:t>9.</w:t>
      </w:r>
      <w:bookmarkEnd w:id="66"/>
      <w:r>
        <w:rPr>
          <w:rFonts w:hint="eastAsia" w:ascii="仿宋" w:hAnsi="仿宋" w:eastAsia="仿宋" w:cs="仿宋"/>
          <w:b/>
          <w:bCs/>
          <w:sz w:val="21"/>
          <w:szCs w:val="21"/>
          <w:lang w:val="en-US" w:eastAsia="zh-CN"/>
        </w:rPr>
        <w:t>档案管理与信息模型</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规定了"一栋一档"的长期性能档案管理要求，明确了档案内容和保存期限，提出了采用建筑信息模型技术建立数字孪生模型的建议，实现检测数据的可视化管理和趋势分析。</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67" w:name="_Toc13094"/>
      <w:r>
        <w:rPr>
          <w:rFonts w:hint="eastAsia" w:ascii="仿宋" w:hAnsi="仿宋" w:eastAsia="仿宋" w:cs="仿宋"/>
          <w:b/>
          <w:bCs/>
          <w:sz w:val="21"/>
          <w:szCs w:val="21"/>
          <w:lang w:val="en-US" w:eastAsia="zh-CN"/>
        </w:rPr>
        <w:t>10.</w:t>
      </w:r>
      <w:bookmarkEnd w:id="67"/>
      <w:r>
        <w:rPr>
          <w:rFonts w:hint="eastAsia" w:ascii="仿宋" w:hAnsi="仿宋" w:eastAsia="仿宋" w:cs="仿宋"/>
          <w:b/>
          <w:bCs/>
          <w:sz w:val="21"/>
          <w:szCs w:val="21"/>
          <w:lang w:val="en-US" w:eastAsia="zh-CN"/>
        </w:rPr>
        <w:t>长期性能监测系统设计指南</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提供了监测系统的构成要求，包括传感器系统、数据采集与传输系统、数据管理与分析平台，具体说明了监测项目选择、传感器选型技术要求，以及监测周期确定和数据管理规范。</w:t>
      </w:r>
    </w:p>
    <w:p w14:paraId="2545AB1A">
      <w:pPr>
        <w:pStyle w:val="60"/>
        <w:numPr>
          <w:ilvl w:val="1"/>
          <w:numId w:val="0"/>
        </w:numPr>
        <w:spacing w:before="156" w:after="156"/>
        <w:rPr>
          <w:rFonts w:ascii="仿宋" w:hAnsi="仿宋" w:eastAsia="仿宋" w:cs="仿宋"/>
          <w:b/>
          <w:bCs/>
          <w:color w:val="000000"/>
          <w:sz w:val="21"/>
          <w:szCs w:val="21"/>
        </w:rPr>
      </w:pPr>
      <w:bookmarkStart w:id="68" w:name="_GoBack"/>
      <w:bookmarkEnd w:id="68"/>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92"/>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12"/>
  </w:num>
  <w:num w:numId="4">
    <w:abstractNumId w:val="14"/>
  </w:num>
  <w:num w:numId="5">
    <w:abstractNumId w:val="3"/>
  </w:num>
  <w:num w:numId="6">
    <w:abstractNumId w:val="10"/>
  </w:num>
  <w:num w:numId="7">
    <w:abstractNumId w:val="1"/>
  </w:num>
  <w:num w:numId="8">
    <w:abstractNumId w:val="4"/>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713558"/>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2EF16DE"/>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 w:type="paragraph" w:customStyle="1" w:styleId="192">
    <w:name w:val="标准文件_前言、引言标题"/>
    <w:next w:val="1"/>
    <w:autoRedefine/>
    <w:qFormat/>
    <w:uiPriority w:val="0"/>
    <w:pPr>
      <w:numPr>
        <w:ilvl w:val="0"/>
        <w:numId w:val="15"/>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3</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2025-11-02T11:38:44Z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D1CE308D72E94804BA624681E4D38789_13</vt:lpwstr>
  </property>
  <property fmtid="{D5CDD505-2E9C-101B-9397-08002B2CF9AE}" pid="4" name="KSOTemplateDocerSaveRecord">
    <vt:lpwstr>eyJoZGlkIjoiMzEwNTM5NzYwMDRjMzkwZTVkZjY2ODkwMGIxNGU0OTUiLCJ1c2VySWQiOiI1OTM0Mzk3OTEifQ==</vt:lpwstr>
  </property>
</Properties>
</file>