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201"/>
      <w:bookmarkStart w:id="1" w:name="_Toc309995999"/>
      <w:bookmarkStart w:id="2" w:name="_Toc309994551"/>
      <w:bookmarkStart w:id="3" w:name="_Toc298937100"/>
      <w:bookmarkStart w:id="4" w:name="_Toc310002637"/>
      <w:bookmarkStart w:id="5" w:name="_Toc298936924"/>
      <w:bookmarkStart w:id="6" w:name="_Toc298937609"/>
      <w:bookmarkStart w:id="7" w:name="_Toc499110426"/>
      <w:bookmarkStart w:id="8" w:name="_Toc298936801"/>
      <w:bookmarkStart w:id="9" w:name="_Toc298937357"/>
      <w:bookmarkStart w:id="10" w:name="_Toc309993180"/>
      <w:bookmarkStart w:id="11" w:name="_Toc298938783"/>
      <w:bookmarkStart w:id="12" w:name="_Toc309997040"/>
      <w:bookmarkStart w:id="13" w:name="_Toc298937152"/>
      <w:bookmarkStart w:id="14" w:name="_Toc298937419"/>
      <w:bookmarkStart w:id="15" w:name="_Toc298937276"/>
      <w:bookmarkStart w:id="16" w:name="_Toc309995472"/>
      <w:bookmarkStart w:id="17" w:name="_Toc298937462"/>
      <w:bookmarkStart w:id="18" w:name="_Toc304402664"/>
      <w:bookmarkStart w:id="19" w:name="_Toc298937167"/>
      <w:bookmarkStart w:id="20" w:name="_Toc304825081"/>
      <w:bookmarkStart w:id="21" w:name="_Toc309995578"/>
      <w:bookmarkStart w:id="22" w:name="_Toc298937188"/>
      <w:bookmarkStart w:id="23" w:name="_Toc304825008"/>
      <w:bookmarkStart w:id="24" w:name="_Toc298938635"/>
      <w:bookmarkStart w:id="25" w:name="_Toc304828066"/>
      <w:bookmarkStart w:id="26" w:name="_Toc298937322"/>
      <w:bookmarkStart w:id="27" w:name="_Toc298923383"/>
      <w:bookmarkStart w:id="28" w:name="_Toc304824969"/>
      <w:bookmarkStart w:id="29" w:name="_Toc37234703"/>
      <w:bookmarkStart w:id="30" w:name="_Toc6138"/>
      <w:bookmarkStart w:id="31" w:name="_Toc309995390"/>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《道路桥梁施工安全风险动态评估与管控规范》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2025年10月20日，中国西部开发促进会发布《道路桥梁施工安全风险动态评估与管控规范》团体标准立项通知,开展团体标准的编制工作。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本标准的根本目的在于，建立一套科学、系统且可操作的动态风险评估与管控体系，旨在通过对道路桥梁施工全过程进行持续性的风险识别、分析、评估和预警，实现安全风险从被动应对向主动预防的根本性转变。其核心目标是有效遏制和减少施工现场安全事故的发生，保障作业人员的生命安全和工程结构的施工安全，确保工程项目顺利推进。</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制定与实施具有承上启下的重要意义。承上，它是贯彻落实国家《安全生产法》关于构建安全风险分级管控和隐患排查治理双重预防机制要求的具体体现，将宏观政策转化为行业可执行的技术规程。启下，它通过引入“动态评估”理念，改变了传统静态、阶段性的安全评估模式，能够更精准地捕捉施工过程中随工序、环境、人员等因素变化而衍生的动态风险，从而显著提升安全管理的前瞻性、精准性和有效性，对推动行业安全管理水平迈向系统化、精细化与智能化具有里程碑式的意义。</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本规范是应对当前道路桥梁施工安全严峻挑战与适应未来工程发展需求的迫切必要之举。其必要性主要体现在：第一，是解决当前施工环境日益复杂（如超大跨径、深水、高墩、复杂地质等）所带来的新型、高风险安全管控难题的现实需要；第二，是扭转传统安全管理依赖经验、反应滞后、管控措施与风险变化脱节等被动局面的内在要求，从事后处理转向事前预防；第三，是适应智慧工地、物联网、大数据等新技术发展，将信息化、智能化手段深度融入安全风险管理，实现风险实时感知、智能预警和精准管控的必然选择，从而系统性地提升全行业的安全保障能力。</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浙江均升建设工程有限公司等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浙江均升建设工程有限公司等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道路桥梁施工安全风险管理相关的法规、标准及技术文献，调研我国道路桥梁施工过程中安全风险的分布特征、典型事故类型、现有评估与管控措施的应用现状及企业面临的挑战。通过实地考察重大工程项目、发放行业调查问卷及组织安全管理专家访谈，深入分析当前在复杂工况、新型工艺及动态变化环境下安全风险识别的及时性、评估的准确性及管控措施的有效性等方面存在的技术瓶颈与管理难点，明确标准化需求，形成全面的调研分析报告，为后续标准编制提供坚实基础。</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分析结论，明确本标准《道路桥梁施工安全风险动态评估与管控规范》的编制范围、核心内容与预期目标，重点涵盖动态风险识别方法、风险评估分级标准、风险预警与响应机制、信息化管控平台建设以及应急预案与持续改进等方面的技术要求。据此编制详细的立项申请书及相关论证材料，正式提交至归口管理的团体标准管理机构，经审议通过后予以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组建由大型施工企业、安全咨询机构、科研院所、高校及行业协会专家组成的标准起草工作组。紧密结合调研成果、理论研究和工程实践经验，严格遵循GB/T 1.1《标准化工作导则》的规则，搭建标准整体框架，并逐章逐节细化“基本规定”、“风险识别与评估”、“动态风险监控与预警”、“风险管控措施”、“信息化管理与应急响应”等核心章节的技术要求、流程规范与控制指标。完成标准草案初稿后，组织起草组内部多次研讨与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归口管理机构官方平台、行业媒体、专业会议等多种渠道，向社会公开发布征求意见，同时定向征求重点道路桥梁施工、监理、设计、建设单位以及安全生产监督管理部门、资深安全专家的意见。对收集到的所有反馈建议进行系统梳理、科学论证和汇总，据此对标准草案进行有针对性的修改与优化，形成标准征求意见稿及详细的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建立了完整的材料性能与工程质量验证体系，通过规定树脂基复合材料巴柯尔硬度不低于40、弯曲强度不低于70MPa，聚乙烯管材必须通过165小时PNP试验等具体技术参数，为新型内衬材料的性能验证提供了明确依据。规范中明确的现场硬度测试、CCTV内部检验、水压试验等验收要求，形成了从材料到成品的全过程质量检验链条，确保修复工程的质量可测量、可验证。</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范构建了给排水管道非开挖修复的全面技术体系，涵盖了前期调查、材料选择、结构设计、施工工艺到质量验收的全流程技术要求。系统规定了原位固化法、螺旋缠绕法、管片内衬法和穿插法四种主流工艺的技术参数与控制标准，首次将新型高分子材料与复合材料应用于管道修复的卫生环保要求、结构设计方法、施工监测指标进行系统集成，为管道非开挖修复行业提供了完整的技术指导。</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通过标准化修复工艺和材料要求，显著提升了修复工程的可靠性和耐久性。虽然采用符合标准的新型内衬材料会使直接材料成本增加约15-20%，但通过减少开挖量80%以上、缩短工期60%、降低交通影响和社会成本约70%，全生命周期成本较传统开挖换管可降低40%以上。规范中明确的50年设计使用年限要求，进一步确保了长期经济效益。</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实施本规范预计可降低管道修复工程直接成本30%以上，其中主要来自开挖费用、道路修复费用和社会成本的大幅节约。修复后管道使用寿命延长至50年，可将管网更新周期延长一倍，减少政府重复投资。同时，非开挖工艺使管道修复期间商业活动正常进行，保守估计可减少因施工导致的经济损失达50%以上。</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社会效益方面：大幅减少道路开挖对交通出行的影响，提升市民生活质量；保障供水安全，减少管道爆漏风险；建立规范的修复标准，促进城市基础设施维护体系现代化。生态效益方面：减少开挖施工产生的扬尘污染和噪音污染约80%；避免大量建筑垃圾产生，材料消耗降低60%以上；修复材料符合环保要求，确保饮用水质安全，对保护水资源和生态环境具有显著效益。</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4884212"/>
      <w:bookmarkStart w:id="36" w:name="_Toc17233334"/>
      <w:bookmarkStart w:id="37" w:name="_Toc17233326"/>
      <w:bookmarkStart w:id="38" w:name="_Toc26648466"/>
      <w:bookmarkStart w:id="39" w:name="_Toc24884219"/>
      <w:r>
        <w:rPr>
          <w:rFonts w:hint="eastAsia" w:ascii="仿宋" w:hAnsi="仿宋" w:eastAsia="仿宋" w:cs="仿宋"/>
          <w:sz w:val="21"/>
          <w:szCs w:val="21"/>
          <w:lang w:val="en-US" w:eastAsia="zh-CN"/>
        </w:rPr>
        <w:t>本章明确了本规范的适用范围，涵盖各等级公路、城市道路、桥梁及隧道工程的新建、改建和扩建项目，规定了材料检测与施工技术的基本要求、过程控制、质量验收及绿色建造等技术内容。</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113282591"/>
      <w:bookmarkStart w:id="41" w:name="_Toc26718931"/>
      <w:bookmarkStart w:id="42" w:name="_Toc26986772"/>
      <w:bookmarkStart w:id="43" w:name="_Toc11915"/>
      <w:bookmarkStart w:id="44" w:name="_Toc26986531"/>
      <w:bookmarkStart w:id="45" w:name="_Toc9719296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2AB63D65">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JTG F90 公路工程施工安全技术规范</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113282592"/>
      <w:bookmarkStart w:id="47" w:name="_Toc97192966"/>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对“见证取样”“平行检验”“工艺参数”“智能监测”“绿色建造”等核心术语作出明确定义，为规范的理解与执行提供统一的概念基础。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提出了材料检测与施工应遵循的“质量第一、预防为主”原则，要求建立质量管理体系、实施全过程质量控制、推广信息化管理，并贯彻绿色建造理念。</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道路工程</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分材料检测、施工技术和特殊路基处理三部分，详细规定了路基填料、路面材料、基层材料的检测指标与频率，以及路基、路面、排水工程的施工工艺和控制参数。</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桥梁工程</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包括材料检测、施工技术和大跨径桥梁施工控制，明确了混凝土、钢筋、预应力材料及支座的检测要求，基础、墩台、梁体施工的技术标准，以及线形与应力监测的控制方法。</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隧道工程</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涵盖支护、防水、衬砌材料的检测指标，开挖支护、防水施工、衬砌施工的工艺要求，以及监控量测的布置与预警机制，确保隧道施工安全与质量。</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8.通用材料检测</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针对水泥、掺合料、骨料和钢材等通用工程材料，规定了其物理力学性能、活性指数、级配、含泥量及焊接质量等关键检测项目与合格标准。</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施工过程控制</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从过程检测、工艺控制和信息化管理三方面，明确了压实度、强度、厚度等现场检测要求，配合比、温度、湿度等工艺参数控制，以及质量追溯与电子档案的信息化管理手段。</w:t>
      </w:r>
    </w:p>
    <w:p w14:paraId="2F6D104B">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10.质量验收</w:t>
      </w:r>
    </w:p>
    <w:p w14:paraId="5774019F">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规定了检验批、分项工程和分部工程的验收程序与标准，明确了允许偏差范围和合格评定条件，确保工程质量符合规范要求。</w:t>
      </w:r>
      <w:bookmarkStart w:id="55" w:name="_GoBack"/>
      <w:bookmarkEnd w:id="55"/>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4089</Words>
  <Characters>4162</Characters>
  <Lines>17</Lines>
  <Paragraphs>4</Paragraphs>
  <TotalTime>2</TotalTime>
  <ScaleCrop>false</ScaleCrop>
  <LinksUpToDate>false</LinksUpToDate>
  <CharactersWithSpaces>4165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2025-11-03T02:38:53Z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9EFF2A6068B24257A8E5DAE4AD4E0730_13</vt:lpwstr>
  </property>
  <property fmtid="{D5CDD505-2E9C-101B-9397-08002B2CF9AE}" pid="4" name="KSOTemplateDocerSaveRecord">
    <vt:lpwstr>eyJoZGlkIjoiMzEwNTM5NzYwMDRjMzkwZTVkZjY2ODkwMGIxNGU0OTUiLCJ1c2VySWQiOiI1OTM0Mzk3OTEifQ==</vt:lpwstr>
  </property>
</Properties>
</file>