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4551"/>
      <w:bookmarkStart w:id="1" w:name="_Toc304825081"/>
      <w:bookmarkStart w:id="2" w:name="_Toc298937201"/>
      <w:bookmarkStart w:id="3" w:name="_Toc309995578"/>
      <w:bookmarkStart w:id="4" w:name="_Toc309995390"/>
      <w:bookmarkStart w:id="5" w:name="_Toc499110426"/>
      <w:bookmarkStart w:id="6" w:name="_Toc304828066"/>
      <w:bookmarkStart w:id="7" w:name="_Toc298937152"/>
      <w:bookmarkStart w:id="8" w:name="_Toc309997040"/>
      <w:bookmarkStart w:id="9" w:name="_Toc309993180"/>
      <w:bookmarkStart w:id="10" w:name="_Toc6138"/>
      <w:bookmarkStart w:id="11" w:name="_Toc304825008"/>
      <w:bookmarkStart w:id="12" w:name="_Toc298937357"/>
      <w:bookmarkStart w:id="13" w:name="_Toc309995472"/>
      <w:bookmarkStart w:id="14" w:name="_Toc298938783"/>
      <w:bookmarkStart w:id="15" w:name="_Toc298936801"/>
      <w:bookmarkStart w:id="16" w:name="_Toc298937100"/>
      <w:bookmarkStart w:id="17" w:name="_Toc298937462"/>
      <w:bookmarkStart w:id="18" w:name="_Toc298937167"/>
      <w:bookmarkStart w:id="19" w:name="_Toc298938635"/>
      <w:bookmarkStart w:id="20" w:name="_Toc298937188"/>
      <w:bookmarkStart w:id="21" w:name="_Toc298923383"/>
      <w:bookmarkStart w:id="22" w:name="_Toc298937322"/>
      <w:bookmarkStart w:id="23" w:name="_Toc298937276"/>
      <w:bookmarkStart w:id="24" w:name="_Toc37234703"/>
      <w:bookmarkStart w:id="25" w:name="_Toc298937419"/>
      <w:bookmarkStart w:id="26" w:name="_Toc304402664"/>
      <w:bookmarkStart w:id="27" w:name="_Toc310002637"/>
      <w:bookmarkStart w:id="28" w:name="_Toc309995999"/>
      <w:bookmarkStart w:id="29" w:name="_Toc298936924"/>
      <w:bookmarkStart w:id="30" w:name="_Toc304824969"/>
      <w:bookmarkStart w:id="31" w:name="_Toc298937609"/>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《绿色建材应用工程造价增量核算规范》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2025年10月20日，中国西部开发促进会发布《绿色建材应用工程造价增量核算规范》团体标准立项通知,开展团体标准的编制工作。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486FA963">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绿色建材应用工程造价增量核算规范》的制定，旨在系统解决绿色建材在工程项目中推广应用所面临的核心经济性问题。其主要目的是建立一套统一、科学的绿色建材工程造价增量核算方法，明确增量成本的识别范围、计算规则和归集标准，为建设单位、设计单位、施工单位及造价咨询机构提供清晰、可操作的技术依据，从而改变当前市场因核算口径不一而导致的绿色建材成本“说不清、算不准”的混乱局面，从经济核算层面保障绿色建材的规范应用。</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316FE6A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编制与实施具有承上启下的关键意义。它是连接绿色建材产品标准与工程投资控制的重要桥梁，将上游的绿色建材性能要求转化为下游工程计价的可量化经济指标。通过标准化核算，不仅能为项目投资决策、设计选型和成本控制提供精准数据支撑，引导资源向环境友好型产品配置，还能培育一个更加透明、公平的绿色建材市场环境，有效推动建筑业从传统高消耗模式向绿色、低碳方向转型，是实现建筑业可持续发展目标不可或缺的技术工具。</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651F870">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面对国家“双碳”战略的深入推进和绿色建筑规模化发展的迫切需求，制定本规范显得尤为必要。当前，绿色建材的应用成本效益缺乏权威的核算指引，导致其在工程预算、招标投标和竣工结算中常常被模糊处理，既影响了建设单位主动采用的积极性，也阻碍了绿色建材市场的健康发展。因此，亟需出台本标准，以统一行业核算语言，规范计价行为，明晰绿色效益的经济表达，从而破解成本瓶颈，释放绿色建材的市场潜力，确保其在工程建设中得到有效且高效的应用。</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由广州市市政工程设计研究总院有限公司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广州市市政工程设计研究总院有限公司等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4CB988F7">
      <w:pPr>
        <w:pStyle w:val="30"/>
        <w:keepNext w:val="0"/>
        <w:keepLines w:val="0"/>
        <w:pageBreakBefore w:val="0"/>
        <w:widowControl/>
        <w:kinsoku/>
        <w:wordWrap/>
        <w:overflowPunct/>
        <w:topLinePunct w:val="0"/>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系统梳理国内外绿色建材产品标准、认证体系及建筑工程造价管理相关的国家标准、行业标准及团体标准，深入调研各类工程项目中绿色建材的应用场景、采购成本、施工措施费变化及运维成本影响。通过实地考察典型项目、发放行业问卷及组织专家研讨，重点分析当前绿色建材在造价核算中面临的成本边界模糊、增量费用归集口径不一、效益量化困难等核心问题，明确标准化需求，形成详实的调研分析报告，为规范编制奠定坚实基础。</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论，明确《绿色建材应用工程造价增量核算规范》的编制范围、核心技术内容及预期目标，重点规定绿色建材的界定与分类、增量成本的识别原则与构成范围、统一的核算方法、数据采集要求以及应用案例示范等。据此编制立项申请书及相关论证材料，提交至团体标准管理机构，经审议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组建由建材生产企业、房地产开发单位、设计院、施工企业、造价咨询机构及科研院所专家构成的标准起草工作组。充分吸收调研成果与行业实践，严格遵循GB/T 1.1《标准化工作导则》搭建标准结构，逐章细化技术内容，包括术语定义、增量成本构成模型、核算流程、计算方法及成果文件要求等，完成标准草案初稿并组织内部多轮研讨与修改完善。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行业协会官网、标准化平台及定向发送等方式，向建材供应商、建设方、设计、施工、监理、造价咨询、审计及检测认证机构等广泛征求意见。全面收集、整理并分析反馈建议，据此对标准草案进行针对性修改与完善，形成内容全面、协调一致的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完善的征求意见稿、编制说明、意见汇总处理表等全套材料报送至团体标准审查委员会。委员会组织专家召开审查会议或进行函审，起草工作组根据审查会议或函审形成的专家意见进行认真修改，最终形成报批所需的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对送审稿及相关文件作最后校对与格式化完善，确保符合出版要求，随后按规定程序报送至团体标准管理机构。经管理机构审核确认内容完整、协调且符合发布条件后，办理标准报批手续，分配标准编号，确定实施日期，并正式发布公告。</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试验验证分析方面，本标准提出的核算方法体系已在多个典型绿色建筑项目中进行了系统验证。通过对采用不同星级绿色建筑标准的住宅、公建项目进行实证研究，验证了方案对比法和要素构成法在不同项目阶段（投资决策、初步设计、施工图设计）的适用性与准确性。具体数据显示，在施工图阶段采用方案对比法核算的增量成本与实际结算成本的偏差率可控制在5%以内，证明了核算方法的科学性。同时，对建材自身成本、措施项目费、人工机械费等核算内容的边界界定和计量规则，通过多个项目的交叉验证，证实其能够全面、合理地反映绿色建材应用带来的真实成本变化，为标准的推广应用提供了充分的实践依据。</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在综述报告方面，本标准系统整合了国内外绿色建材评价与工程计价领域的最新成果，创新性地构建了符合中国国情的绿色建材造价增量核算框架。标准内容全面涵盖了核算原则、各方职责、核算内容、数据采集、方法程序和成果文件等关键环节，特别是明确了基准方案与绿色方案的对比原则，系统性地解决了长期以来绿色建材成本核算范围不清、口径不一的问题，填补了该领域标准空白。</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技术经济论证方面，本标准建立的核算体系体现了显著的技术先进性与经济合理性。通过标准化的核算程序和方法，能够有效降低因核算口径不一致导致的成本偏差，提高投资决策的科学性。标准中规定的多源数据采集机制（优先采用信息价，辅以市场询价和历史数据）和数据处理要求，既保证了核算结果的可靠性，又具有较好的操作可行性。实施本标准所需的额外成本（如咨询费用）远低于因成本核算不准可能造成的投资失控损失，投入产出比显著。经济分析表明，采用本标准进行精准核算，可帮助项目在规划设计阶段就实现成本优化，避免后期变更造成的浪费。</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预期的经济效益方面，本标准的实施将带来多层次的经济价值。对建设单位而言，通过精准核算绿色建材增量成本，可提高投资估算和概预算的准确性，有效控制项目总投资，预计可将因成本不明确导致的投资偏差降低10%以上。对建材生产企业，标准提供的透明化核算方法有助于其绿色产品的合理定价和市场推广。对咨询行业，统一的核算规范将提升服务效率和质量，创造新的业务增长点。从项目全生命周期看，通过核算引导选用高性能绿色建材，虽可能增加初始建安成本3%-8%，但可在运营阶段节省能源资源和维护费用20%-30%，实现长期经济效益最大化。</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效益和生态效益方面，本标准的推广应用将产生深远影响。社会效益上，通过建立公平、透明的核算标准，为绿色建材的性能溢价提供权威计量依据，增强市场各方对绿色建材的接受度，促进绿色消费市场形成。同时，标准实施将带动设计、施工、咨询等产业链相关方提升专业能力，创造更多高质量就业岗位。生态效益上，通过量化绿色建材的环境价值，引导建设项目优先选用节能、减排、可循环的建材产品，预计可促进建筑全生命周期碳排放降低15%-25%，推动建材产业绿色转型，有效保护自然资源和生态环境，为实现建筑业"双碳"目标提供重要技术支撑。</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2"/>
      <w:bookmarkStart w:id="36" w:name="_Toc24884219"/>
      <w:bookmarkStart w:id="37" w:name="_Toc26648466"/>
      <w:bookmarkStart w:id="38" w:name="_Toc17233334"/>
      <w:bookmarkStart w:id="39" w:name="_Toc17233326"/>
      <w:r>
        <w:rPr>
          <w:rFonts w:hint="eastAsia" w:ascii="仿宋" w:hAnsi="仿宋" w:eastAsia="仿宋" w:cs="仿宋"/>
          <w:sz w:val="21"/>
          <w:szCs w:val="21"/>
          <w:lang w:val="en-US" w:eastAsia="zh-CN"/>
        </w:rPr>
        <w:t>明确了标准的适用范围和核心内容，规定本文件适用于新建、改建和扩建的民用建筑与一般工业建筑项目中，因应用绿色建材所产生的工程造价增量的核算、分析与报告工作，涵盖了核算原则、各方职责、核算内容、数据采集与处理、核算方法与程序以及成果文件等全过程技术要求。</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97192965"/>
      <w:bookmarkStart w:id="42" w:name="_Toc11915"/>
      <w:bookmarkStart w:id="43" w:name="_Toc26986772"/>
      <w:bookmarkStart w:id="44" w:name="_Toc26986531"/>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43E0303F">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50378 绿色建筑评价标准（2024年版）</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97192966"/>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本章对"绿色建材"、"工程造价增量"、"基准方案"、"绿色方案"等核心术语作出明确定义，统一行业概念认知，为后续技术规定的准确理解和执行奠定基础。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核算原则</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科学性原则要求核算方法符合工程经济学理论，系统性原则要求全面覆盖所有相关成本变化，可比性原则确保对比基础一致，实用性原则强调操作便捷，透明性原则保证过程可追溯，共同构成核算工作的基本准则。</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各方职责要求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本章明确建设单位负责组织协调并确认成果，设计单位需提供完整技术方案并标识绿色建材，咨询单位承担独立核算和专业责任，施工单位负责提供市场价格和施工方案，构建了完整的责任体系。</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核算内容</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本章系统规定核算范围，包括建材自身成本增量、措施项目费增量、人工与机械费增量、系统协同效应产生的成本变化以及专项费用，确保全面反映绿色建材应用带来的所有成本变化。</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数据采集与处理</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本章规范数据来源优先采用官方信息价，明确数据的时效性、地域性和口径一致性要求，规定对波动数据的处理方式和估算依据的说明责任，建立严谨的数据质量保障机制。</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8.核算方法与程序</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本章提供方案对比法和要素构成法两种核算方法，分别适用于不同项目阶段；明确投资决策、初步设计、施工图设计和竣工阶段四个核算时点的不同要求；规定从目标确定到报告审核的完整核算流程。</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核算成果文件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本章规范核算报告的必备内容，要求包含项目概况、核算依据、方案描述、核算过程、核算结论、不确定说明和附件等完整要素，确保核算成果的规范性、可追溯性和决策支持价值</w:t>
      </w:r>
      <w:bookmarkStart w:id="55" w:name="_GoBack"/>
      <w:bookmarkEnd w:id="55"/>
      <w:r>
        <w:rPr>
          <w:rFonts w:hint="eastAsia" w:ascii="仿宋" w:hAnsi="仿宋" w:eastAsia="仿宋" w:cs="仿宋"/>
          <w:sz w:val="21"/>
          <w:szCs w:val="21"/>
          <w:lang w:val="en-US" w:eastAsia="zh-CN" w:bidi="ar-SA"/>
        </w:rPr>
        <w:t>。</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305EC5"/>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1B29DD"/>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3914</Words>
  <Characters>4036</Characters>
  <Lines>17</Lines>
  <Paragraphs>4</Paragraphs>
  <TotalTime>2</TotalTime>
  <ScaleCrop>false</ScaleCrop>
  <LinksUpToDate>false</LinksUpToDate>
  <CharactersWithSpaces>4047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2025-10-31T01:55:55Z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C8D2902C8E0D4CE2B8EB8729A1B9B57B_13</vt:lpwstr>
  </property>
  <property fmtid="{D5CDD505-2E9C-101B-9397-08002B2CF9AE}" pid="4" name="KSOTemplateDocerSaveRecord">
    <vt:lpwstr>eyJoZGlkIjoiMzEwNTM5NzYwMDRjMzkwZTVkZjY2ODkwMGIxNGU0OTUiLCJ1c2VySWQiOiI1OTM0Mzk3OTEifQ==</vt:lpwstr>
  </property>
</Properties>
</file>